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22D5FD">
      <w:pPr>
        <w:pStyle w:val="3"/>
        <w:numPr>
          <w:ilvl w:val="0"/>
          <w:numId w:val="0"/>
        </w:numPr>
        <w:spacing w:before="0" w:after="0" w:line="360" w:lineRule="auto"/>
        <w:ind w:left="431" w:hanging="431"/>
        <w:jc w:val="center"/>
        <w:rPr>
          <w:rFonts w:hint="eastAsia" w:ascii="宋体" w:hAnsi="宋体" w:eastAsia="宋体" w:cs="宋体"/>
          <w:bCs/>
          <w:color w:val="auto"/>
          <w:sz w:val="48"/>
          <w:szCs w:val="48"/>
          <w:highlight w:val="none"/>
          <w:lang w:eastAsia="zh-CN"/>
        </w:rPr>
      </w:pPr>
      <w:r>
        <w:rPr>
          <w:rFonts w:hint="eastAsia" w:ascii="宋体" w:hAnsi="宋体" w:eastAsia="宋体" w:cs="宋体"/>
          <w:bCs/>
          <w:color w:val="auto"/>
          <w:sz w:val="48"/>
          <w:szCs w:val="48"/>
          <w:highlight w:val="none"/>
          <w:lang w:eastAsia="zh-CN"/>
        </w:rPr>
        <w:t>招标公告</w:t>
      </w:r>
    </w:p>
    <w:p w14:paraId="73AD22CD">
      <w:pPr>
        <w:spacing w:line="400" w:lineRule="exact"/>
        <w:jc w:val="center"/>
        <w:rPr>
          <w:rFonts w:hint="eastAsia" w:ascii="宋体" w:hAnsi="宋体" w:eastAsia="宋体" w:cs="宋体"/>
          <w:color w:val="auto"/>
          <w:highlight w:val="none"/>
        </w:rPr>
      </w:pPr>
    </w:p>
    <w:p w14:paraId="363499BE">
      <w:pPr>
        <w:pStyle w:val="5"/>
        <w:pageBreakBefore w:val="0"/>
        <w:widowControl w:val="0"/>
        <w:numPr>
          <w:ilvl w:val="0"/>
          <w:numId w:val="0"/>
        </w:numPr>
        <w:kinsoku/>
        <w:wordWrap/>
        <w:overflowPunct/>
        <w:topLinePunct w:val="0"/>
        <w:autoSpaceDE/>
        <w:autoSpaceDN/>
        <w:bidi w:val="0"/>
        <w:snapToGrid/>
        <w:spacing w:before="32" w:beforeLines="10" w:after="32" w:afterLines="10" w:line="500" w:lineRule="exact"/>
        <w:ind w:left="720" w:hanging="72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 招标条件</w:t>
      </w:r>
    </w:p>
    <w:p w14:paraId="3C677C36">
      <w:pPr>
        <w:pageBreakBefore w:val="0"/>
        <w:widowControl w:val="0"/>
        <w:kinsoku/>
        <w:wordWrap/>
        <w:overflowPunct/>
        <w:topLinePunct w:val="0"/>
        <w:autoSpaceDE/>
        <w:autoSpaceDN/>
        <w:bidi w:val="0"/>
        <w:snapToGrid/>
        <w:spacing w:before="32" w:beforeLines="10" w:after="32" w:afterLines="10" w:line="500" w:lineRule="exact"/>
        <w:ind w:firstLine="480" w:firstLineChars="200"/>
        <w:jc w:val="left"/>
        <w:rPr>
          <w:rFonts w:hint="eastAsia" w:ascii="宋体" w:hAnsi="宋体" w:eastAsia="宋体" w:cs="宋体"/>
          <w:color w:val="auto"/>
          <w:sz w:val="24"/>
          <w:highlight w:val="none"/>
        </w:rPr>
      </w:pPr>
      <w:r>
        <w:rPr>
          <w:rFonts w:hint="eastAsia" w:ascii="宋体" w:hAnsi="宋体" w:eastAsia="宋体" w:cs="宋体"/>
          <w:bCs/>
          <w:color w:val="auto"/>
          <w:kern w:val="0"/>
          <w:sz w:val="24"/>
          <w:highlight w:val="none"/>
          <w:u w:val="single"/>
          <w:lang w:eastAsia="zh-CN"/>
        </w:rPr>
        <w:t>国网辽宁营口站前供电分公司生产综合用房项目</w:t>
      </w:r>
      <w:r>
        <w:rPr>
          <w:rFonts w:hint="eastAsia" w:ascii="宋体" w:hAnsi="宋体" w:eastAsia="宋体" w:cs="宋体"/>
          <w:color w:val="auto"/>
          <w:sz w:val="24"/>
          <w:highlight w:val="none"/>
        </w:rPr>
        <w:t>，已批准建设，招标方式核准为</w:t>
      </w:r>
      <w:r>
        <w:rPr>
          <w:rFonts w:hint="eastAsia" w:ascii="宋体" w:hAnsi="宋体" w:eastAsia="宋体" w:cs="宋体"/>
          <w:color w:val="auto"/>
          <w:sz w:val="24"/>
          <w:highlight w:val="none"/>
          <w:u w:val="single"/>
          <w:lang w:eastAsia="zh-CN"/>
        </w:rPr>
        <w:t>公开</w:t>
      </w:r>
      <w:r>
        <w:rPr>
          <w:rFonts w:hint="eastAsia" w:ascii="宋体" w:hAnsi="宋体" w:eastAsia="宋体" w:cs="宋体"/>
          <w:color w:val="auto"/>
          <w:sz w:val="24"/>
          <w:highlight w:val="none"/>
          <w:u w:val="single"/>
        </w:rPr>
        <w:t>招标</w:t>
      </w:r>
      <w:r>
        <w:rPr>
          <w:rFonts w:hint="eastAsia" w:ascii="宋体" w:hAnsi="宋体" w:eastAsia="宋体" w:cs="宋体"/>
          <w:color w:val="auto"/>
          <w:sz w:val="24"/>
          <w:highlight w:val="none"/>
        </w:rPr>
        <w:t>，项目业主为</w:t>
      </w:r>
      <w:r>
        <w:rPr>
          <w:rFonts w:hint="eastAsia" w:ascii="宋体" w:hAnsi="宋体" w:eastAsia="宋体" w:cs="宋体"/>
          <w:bCs/>
          <w:color w:val="auto"/>
          <w:kern w:val="0"/>
          <w:sz w:val="24"/>
          <w:highlight w:val="none"/>
          <w:u w:val="single"/>
        </w:rPr>
        <w:t>国网辽宁省电力有限公司营口供电公司</w:t>
      </w:r>
      <w:r>
        <w:rPr>
          <w:rFonts w:hint="eastAsia" w:ascii="宋体" w:hAnsi="宋体" w:eastAsia="宋体" w:cs="宋体"/>
          <w:color w:val="auto"/>
          <w:sz w:val="24"/>
          <w:highlight w:val="none"/>
        </w:rPr>
        <w:t>。工程建设资金来自</w:t>
      </w:r>
      <w:r>
        <w:rPr>
          <w:rFonts w:hint="eastAsia" w:ascii="宋体" w:hAnsi="宋体" w:eastAsia="宋体" w:cs="宋体"/>
          <w:color w:val="auto"/>
          <w:sz w:val="24"/>
          <w:highlight w:val="none"/>
          <w:u w:val="single"/>
        </w:rPr>
        <w:t>自筹</w:t>
      </w:r>
      <w:r>
        <w:rPr>
          <w:rFonts w:hint="eastAsia" w:ascii="宋体" w:hAnsi="宋体" w:eastAsia="宋体" w:cs="宋体"/>
          <w:color w:val="auto"/>
          <w:sz w:val="24"/>
          <w:highlight w:val="none"/>
        </w:rPr>
        <w:t>，招标项目已具备招标条件，现</w:t>
      </w:r>
      <w:r>
        <w:rPr>
          <w:rFonts w:hint="eastAsia" w:ascii="宋体" w:hAnsi="宋体" w:eastAsia="宋体" w:cs="宋体"/>
          <w:color w:val="auto"/>
          <w:sz w:val="24"/>
          <w:highlight w:val="none"/>
          <w:lang w:eastAsia="zh-CN"/>
        </w:rPr>
        <w:t>对</w:t>
      </w:r>
      <w:r>
        <w:rPr>
          <w:rFonts w:hint="eastAsia" w:ascii="宋体" w:hAnsi="宋体" w:eastAsia="宋体" w:cs="宋体"/>
          <w:b w:val="0"/>
          <w:bCs/>
          <w:color w:val="auto"/>
          <w:kern w:val="0"/>
          <w:sz w:val="24"/>
          <w:highlight w:val="none"/>
          <w:u w:val="single"/>
          <w:lang w:eastAsia="zh-CN"/>
        </w:rPr>
        <w:t>国网辽宁营口鲅鱼圈供电分公司运维检修用房勘察项目</w:t>
      </w:r>
      <w:r>
        <w:rPr>
          <w:rFonts w:hint="eastAsia" w:ascii="宋体" w:hAnsi="宋体" w:eastAsia="宋体" w:cs="宋体"/>
          <w:color w:val="auto"/>
          <w:sz w:val="24"/>
          <w:highlight w:val="none"/>
          <w:lang w:eastAsia="zh-CN"/>
        </w:rPr>
        <w:t>进行公开招标</w:t>
      </w:r>
      <w:r>
        <w:rPr>
          <w:rFonts w:hint="eastAsia" w:ascii="宋体" w:hAnsi="宋体" w:eastAsia="宋体" w:cs="宋体"/>
          <w:color w:val="auto"/>
          <w:sz w:val="24"/>
          <w:highlight w:val="none"/>
        </w:rPr>
        <w:t>。</w:t>
      </w:r>
    </w:p>
    <w:p w14:paraId="134FD5D5">
      <w:pPr>
        <w:pStyle w:val="5"/>
        <w:pageBreakBefore w:val="0"/>
        <w:widowControl w:val="0"/>
        <w:numPr>
          <w:ilvl w:val="0"/>
          <w:numId w:val="0"/>
        </w:numPr>
        <w:kinsoku/>
        <w:wordWrap/>
        <w:overflowPunct/>
        <w:topLinePunct w:val="0"/>
        <w:autoSpaceDE/>
        <w:autoSpaceDN/>
        <w:bidi w:val="0"/>
        <w:snapToGrid/>
        <w:spacing w:before="32" w:beforeLines="10" w:after="32" w:afterLines="10" w:line="500" w:lineRule="exact"/>
        <w:ind w:left="720" w:hanging="72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 项目概况与招标范围</w:t>
      </w:r>
    </w:p>
    <w:p w14:paraId="5023C445">
      <w:pPr>
        <w:pageBreakBefore w:val="0"/>
        <w:widowControl w:val="0"/>
        <w:kinsoku/>
        <w:wordWrap/>
        <w:overflowPunct/>
        <w:topLinePunct w:val="0"/>
        <w:autoSpaceDE/>
        <w:autoSpaceDN/>
        <w:bidi w:val="0"/>
        <w:snapToGrid/>
        <w:spacing w:before="32" w:beforeLines="10" w:after="32" w:afterLines="10" w:line="500" w:lineRule="exact"/>
        <w:ind w:firstLine="480" w:firstLineChars="200"/>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2.1项目名称：</w:t>
      </w:r>
      <w:r>
        <w:rPr>
          <w:rFonts w:hint="eastAsia" w:ascii="宋体" w:hAnsi="宋体" w:eastAsia="宋体" w:cs="宋体"/>
          <w:bCs/>
          <w:color w:val="auto"/>
          <w:kern w:val="0"/>
          <w:sz w:val="24"/>
          <w:highlight w:val="none"/>
          <w:u w:val="single"/>
          <w:lang w:eastAsia="zh-CN"/>
        </w:rPr>
        <w:t>国网辽宁营口鲅鱼圈供电分公司运维检修用房勘察项目</w:t>
      </w:r>
    </w:p>
    <w:p w14:paraId="506E8AD9">
      <w:pPr>
        <w:pageBreakBefore w:val="0"/>
        <w:widowControl w:val="0"/>
        <w:kinsoku/>
        <w:wordWrap/>
        <w:overflowPunct/>
        <w:topLinePunct w:val="0"/>
        <w:autoSpaceDE/>
        <w:autoSpaceDN/>
        <w:bidi w:val="0"/>
        <w:snapToGrid/>
        <w:spacing w:before="32" w:beforeLines="10" w:after="32" w:afterLines="10" w:line="500" w:lineRule="exact"/>
        <w:ind w:firstLine="480" w:firstLineChars="200"/>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2.2本次招标项目的建设地点：</w:t>
      </w:r>
      <w:r>
        <w:rPr>
          <w:rFonts w:hint="eastAsia" w:ascii="宋体" w:hAnsi="宋体" w:eastAsia="宋体" w:cs="宋体"/>
          <w:color w:val="auto"/>
          <w:sz w:val="24"/>
          <w:highlight w:val="none"/>
          <w:u w:val="single"/>
        </w:rPr>
        <w:t>位于国网辽宁营口鲅鱼圈供电分公司院内</w:t>
      </w:r>
    </w:p>
    <w:p w14:paraId="19B1B47D">
      <w:pPr>
        <w:pageBreakBefore w:val="0"/>
        <w:widowControl w:val="0"/>
        <w:kinsoku/>
        <w:wordWrap/>
        <w:overflowPunct/>
        <w:topLinePunct w:val="0"/>
        <w:autoSpaceDE/>
        <w:autoSpaceDN/>
        <w:bidi w:val="0"/>
        <w:snapToGrid/>
        <w:spacing w:before="32" w:beforeLines="10" w:after="32" w:afterLines="10"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2.3</w:t>
      </w:r>
      <w:r>
        <w:rPr>
          <w:rFonts w:hint="eastAsia" w:ascii="宋体" w:hAnsi="宋体" w:eastAsia="宋体" w:cs="宋体"/>
          <w:color w:val="auto"/>
          <w:sz w:val="24"/>
          <w:highlight w:val="none"/>
          <w:lang w:eastAsia="zh-CN"/>
        </w:rPr>
        <w:t>勘察规模</w:t>
      </w:r>
      <w:r>
        <w:rPr>
          <w:rFonts w:hint="eastAsia" w:ascii="宋体" w:hAnsi="宋体" w:eastAsia="宋体" w:cs="宋体"/>
          <w:color w:val="auto"/>
          <w:sz w:val="24"/>
          <w:highlight w:val="none"/>
        </w:rPr>
        <w:t>：</w:t>
      </w:r>
      <w:r>
        <w:rPr>
          <w:rFonts w:hint="eastAsia" w:ascii="宋体" w:hAnsi="宋体" w:eastAsia="宋体" w:cs="宋体"/>
          <w:color w:val="auto"/>
          <w:sz w:val="24"/>
          <w:highlight w:val="none"/>
          <w:u w:val="single"/>
        </w:rPr>
        <w:t>拟建项目总建筑面积为2513平方米，主体三层框架结构，局部四层。</w:t>
      </w:r>
    </w:p>
    <w:p w14:paraId="09804AE9">
      <w:pPr>
        <w:pageBreakBefore w:val="0"/>
        <w:widowControl w:val="0"/>
        <w:kinsoku/>
        <w:wordWrap/>
        <w:overflowPunct/>
        <w:topLinePunct w:val="0"/>
        <w:autoSpaceDE/>
        <w:autoSpaceDN/>
        <w:bidi w:val="0"/>
        <w:snapToGrid/>
        <w:spacing w:before="32" w:beforeLines="10" w:after="32" w:afterLines="10"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2.4本项目共划分为1个标段</w:t>
      </w:r>
    </w:p>
    <w:tbl>
      <w:tblPr>
        <w:tblStyle w:val="8"/>
        <w:tblW w:w="95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37"/>
        <w:gridCol w:w="3751"/>
        <w:gridCol w:w="3806"/>
      </w:tblGrid>
      <w:tr w14:paraId="62B57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37" w:type="dxa"/>
            <w:noWrap w:val="0"/>
            <w:vAlign w:val="center"/>
          </w:tcPr>
          <w:p w14:paraId="0D288744">
            <w:pPr>
              <w:pageBreakBefore w:val="0"/>
              <w:widowControl w:val="0"/>
              <w:kinsoku/>
              <w:wordWrap/>
              <w:overflowPunct/>
              <w:topLinePunct w:val="0"/>
              <w:autoSpaceDE/>
              <w:autoSpaceDN/>
              <w:bidi w:val="0"/>
              <w:snapToGrid/>
              <w:spacing w:before="32" w:beforeLines="10" w:after="32" w:afterLines="10" w:line="500" w:lineRule="exact"/>
              <w:jc w:val="center"/>
              <w:rPr>
                <w:rFonts w:hint="eastAsia" w:ascii="宋体" w:hAnsi="宋体" w:eastAsia="宋体" w:cs="宋体"/>
                <w:color w:val="auto"/>
                <w:szCs w:val="21"/>
                <w:highlight w:val="none"/>
              </w:rPr>
            </w:pPr>
            <w:r>
              <w:rPr>
                <w:rFonts w:hint="eastAsia" w:ascii="宋体" w:hAnsi="宋体" w:eastAsia="宋体" w:cs="宋体"/>
                <w:b/>
                <w:bCs/>
                <w:color w:val="auto"/>
                <w:szCs w:val="21"/>
                <w:highlight w:val="none"/>
              </w:rPr>
              <w:t>标段名称</w:t>
            </w:r>
          </w:p>
        </w:tc>
        <w:tc>
          <w:tcPr>
            <w:tcW w:w="3751" w:type="dxa"/>
            <w:noWrap w:val="0"/>
            <w:vAlign w:val="center"/>
          </w:tcPr>
          <w:p w14:paraId="03358A26">
            <w:pPr>
              <w:pageBreakBefore w:val="0"/>
              <w:widowControl w:val="0"/>
              <w:kinsoku/>
              <w:wordWrap/>
              <w:overflowPunct/>
              <w:topLinePunct w:val="0"/>
              <w:autoSpaceDE/>
              <w:autoSpaceDN/>
              <w:bidi w:val="0"/>
              <w:snapToGrid/>
              <w:spacing w:before="32" w:beforeLines="10" w:after="32" w:afterLines="10" w:line="500" w:lineRule="exact"/>
              <w:jc w:val="center"/>
              <w:rPr>
                <w:rFonts w:hint="eastAsia" w:ascii="宋体" w:hAnsi="宋体" w:eastAsia="宋体" w:cs="宋体"/>
                <w:color w:val="auto"/>
                <w:szCs w:val="21"/>
                <w:highlight w:val="none"/>
              </w:rPr>
            </w:pPr>
            <w:r>
              <w:rPr>
                <w:rFonts w:hint="eastAsia" w:ascii="宋体" w:hAnsi="宋体" w:eastAsia="宋体" w:cs="宋体"/>
                <w:b/>
                <w:bCs/>
                <w:color w:val="auto"/>
                <w:szCs w:val="21"/>
                <w:highlight w:val="none"/>
              </w:rPr>
              <w:t>招标范围</w:t>
            </w:r>
          </w:p>
        </w:tc>
        <w:tc>
          <w:tcPr>
            <w:tcW w:w="3806" w:type="dxa"/>
            <w:noWrap w:val="0"/>
            <w:vAlign w:val="center"/>
          </w:tcPr>
          <w:p w14:paraId="56C8AA69">
            <w:pPr>
              <w:pageBreakBefore w:val="0"/>
              <w:widowControl w:val="0"/>
              <w:kinsoku/>
              <w:wordWrap/>
              <w:overflowPunct/>
              <w:topLinePunct w:val="0"/>
              <w:autoSpaceDE/>
              <w:autoSpaceDN/>
              <w:bidi w:val="0"/>
              <w:snapToGrid/>
              <w:spacing w:before="32" w:beforeLines="10" w:after="32" w:afterLines="10" w:line="500" w:lineRule="exact"/>
              <w:jc w:val="center"/>
              <w:rPr>
                <w:rFonts w:hint="eastAsia" w:ascii="宋体" w:hAnsi="宋体" w:eastAsia="宋体" w:cs="宋体"/>
                <w:color w:val="auto"/>
                <w:szCs w:val="21"/>
                <w:highlight w:val="none"/>
              </w:rPr>
            </w:pPr>
            <w:r>
              <w:rPr>
                <w:rFonts w:hint="eastAsia" w:ascii="宋体" w:hAnsi="宋体" w:eastAsia="宋体" w:cs="宋体"/>
                <w:b/>
                <w:bCs/>
                <w:color w:val="auto"/>
                <w:szCs w:val="21"/>
                <w:highlight w:val="none"/>
                <w:lang w:eastAsia="zh-CN"/>
              </w:rPr>
              <w:t>勘察</w:t>
            </w:r>
            <w:r>
              <w:rPr>
                <w:rFonts w:hint="eastAsia" w:ascii="宋体" w:hAnsi="宋体" w:eastAsia="宋体" w:cs="宋体"/>
                <w:b/>
                <w:bCs/>
                <w:color w:val="auto"/>
                <w:szCs w:val="21"/>
                <w:highlight w:val="none"/>
              </w:rPr>
              <w:t>周期</w:t>
            </w:r>
          </w:p>
        </w:tc>
      </w:tr>
      <w:tr w14:paraId="14CE3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8" w:hRule="atLeast"/>
          <w:jc w:val="center"/>
        </w:trPr>
        <w:tc>
          <w:tcPr>
            <w:tcW w:w="2037" w:type="dxa"/>
            <w:noWrap w:val="0"/>
            <w:vAlign w:val="center"/>
          </w:tcPr>
          <w:p w14:paraId="6D807771">
            <w:pPr>
              <w:pageBreakBefore w:val="0"/>
              <w:widowControl w:val="0"/>
              <w:kinsoku/>
              <w:wordWrap/>
              <w:overflowPunct/>
              <w:topLinePunct w:val="0"/>
              <w:autoSpaceDE/>
              <w:autoSpaceDN/>
              <w:bidi w:val="0"/>
              <w:snapToGrid/>
              <w:spacing w:before="32" w:beforeLines="10" w:after="32" w:afterLines="10" w:line="500" w:lineRule="exact"/>
              <w:jc w:val="center"/>
              <w:rPr>
                <w:rFonts w:hint="eastAsia" w:ascii="宋体" w:hAnsi="宋体" w:eastAsia="宋体" w:cs="宋体"/>
                <w:color w:val="auto"/>
                <w:sz w:val="24"/>
                <w:szCs w:val="24"/>
                <w:highlight w:val="none"/>
                <w:lang w:eastAsia="zh-CN"/>
              </w:rPr>
            </w:pPr>
            <w:r>
              <w:rPr>
                <w:rFonts w:hint="eastAsia" w:ascii="宋体" w:hAnsi="宋体" w:eastAsia="宋体" w:cs="宋体"/>
                <w:bCs/>
                <w:color w:val="auto"/>
                <w:kern w:val="0"/>
                <w:sz w:val="24"/>
                <w:szCs w:val="24"/>
                <w:highlight w:val="none"/>
                <w:lang w:eastAsia="zh-CN"/>
              </w:rPr>
              <w:t>国网辽宁营口鲅鱼圈供电分公司运维检修用房勘察项目</w:t>
            </w:r>
          </w:p>
        </w:tc>
        <w:tc>
          <w:tcPr>
            <w:tcW w:w="3751" w:type="dxa"/>
            <w:noWrap w:val="0"/>
            <w:vAlign w:val="center"/>
          </w:tcPr>
          <w:p w14:paraId="6555D737">
            <w:pPr>
              <w:pageBreakBefore w:val="0"/>
              <w:widowControl w:val="0"/>
              <w:kinsoku/>
              <w:wordWrap/>
              <w:overflowPunct/>
              <w:topLinePunct w:val="0"/>
              <w:autoSpaceDE/>
              <w:autoSpaceDN/>
              <w:bidi w:val="0"/>
              <w:snapToGrid/>
              <w:spacing w:before="32" w:beforeLines="10" w:after="32" w:afterLines="10" w:line="500" w:lineRule="exact"/>
              <w:jc w:val="left"/>
              <w:rPr>
                <w:rFonts w:hint="eastAsia" w:ascii="宋体" w:hAnsi="宋体" w:eastAsia="宋体" w:cs="宋体"/>
                <w:color w:val="auto"/>
                <w:sz w:val="24"/>
                <w:szCs w:val="24"/>
                <w:highlight w:val="none"/>
              </w:rPr>
            </w:pPr>
            <w:r>
              <w:rPr>
                <w:rFonts w:hint="eastAsia" w:ascii="宋体" w:hAnsi="宋体" w:eastAsia="宋体" w:cs="宋体"/>
                <w:bCs/>
                <w:color w:val="auto"/>
                <w:kern w:val="0"/>
                <w:sz w:val="24"/>
                <w:szCs w:val="24"/>
                <w:highlight w:val="none"/>
                <w:lang w:val="en-US" w:eastAsia="zh-CN"/>
              </w:rPr>
              <w:t>为</w:t>
            </w:r>
            <w:r>
              <w:rPr>
                <w:rFonts w:hint="eastAsia" w:ascii="宋体" w:hAnsi="宋体" w:eastAsia="宋体" w:cs="宋体"/>
                <w:bCs/>
                <w:color w:val="auto"/>
                <w:kern w:val="0"/>
                <w:sz w:val="24"/>
                <w:szCs w:val="24"/>
                <w:highlight w:val="none"/>
                <w:lang w:eastAsia="zh-CN"/>
              </w:rPr>
              <w:t>国网辽宁营口鲅鱼圈供电分公司运维检修用房项目</w:t>
            </w:r>
            <w:r>
              <w:rPr>
                <w:rFonts w:hint="eastAsia" w:ascii="宋体" w:hAnsi="宋体" w:eastAsia="宋体" w:cs="宋体"/>
                <w:bCs/>
                <w:color w:val="auto"/>
                <w:kern w:val="0"/>
                <w:sz w:val="24"/>
                <w:szCs w:val="24"/>
                <w:highlight w:val="none"/>
              </w:rPr>
              <w:t>地质勘察，并提供勘察成果资料以及后续施工配合服务（详见技术要求）。</w:t>
            </w:r>
          </w:p>
        </w:tc>
        <w:tc>
          <w:tcPr>
            <w:tcW w:w="3806" w:type="dxa"/>
            <w:noWrap w:val="0"/>
            <w:vAlign w:val="center"/>
          </w:tcPr>
          <w:p w14:paraId="575BC812">
            <w:pPr>
              <w:pageBreakBefore w:val="0"/>
              <w:widowControl w:val="0"/>
              <w:kinsoku/>
              <w:wordWrap/>
              <w:overflowPunct/>
              <w:topLinePunct w:val="0"/>
              <w:autoSpaceDE/>
              <w:autoSpaceDN/>
              <w:bidi w:val="0"/>
              <w:snapToGrid/>
              <w:spacing w:before="32" w:beforeLines="10" w:after="32" w:afterLines="10" w:line="500" w:lineRule="exact"/>
              <w:jc w:val="center"/>
              <w:rPr>
                <w:rFonts w:hint="eastAsia" w:ascii="宋体" w:hAnsi="宋体" w:eastAsia="宋体" w:cs="宋体"/>
                <w:color w:val="auto"/>
                <w:sz w:val="24"/>
                <w:szCs w:val="24"/>
                <w:highlight w:val="none"/>
              </w:rPr>
            </w:pPr>
            <w:r>
              <w:rPr>
                <w:rFonts w:hint="eastAsia" w:ascii="宋体" w:hAnsi="宋体" w:eastAsia="宋体" w:cs="宋体"/>
                <w:bCs/>
                <w:color w:val="auto"/>
                <w:kern w:val="0"/>
                <w:sz w:val="24"/>
                <w:szCs w:val="24"/>
                <w:highlight w:val="none"/>
                <w:lang w:val="en-US" w:eastAsia="zh-CN"/>
              </w:rPr>
              <w:t>具体时间以合同签订为准</w:t>
            </w:r>
            <w:r>
              <w:rPr>
                <w:rFonts w:hint="eastAsia" w:ascii="宋体" w:hAnsi="宋体" w:eastAsia="宋体" w:cs="宋体"/>
                <w:bCs/>
                <w:color w:val="auto"/>
                <w:kern w:val="0"/>
                <w:sz w:val="24"/>
                <w:szCs w:val="24"/>
                <w:highlight w:val="none"/>
              </w:rPr>
              <w:t>（勘察报告应符合国家相关规范要求，达到审图中心审查合格标准，应符合招标文件技术要求）。</w:t>
            </w:r>
          </w:p>
        </w:tc>
      </w:tr>
    </w:tbl>
    <w:p w14:paraId="4D1E2833">
      <w:pPr>
        <w:pStyle w:val="5"/>
        <w:pageBreakBefore w:val="0"/>
        <w:widowControl w:val="0"/>
        <w:numPr>
          <w:ilvl w:val="0"/>
          <w:numId w:val="0"/>
        </w:numPr>
        <w:kinsoku/>
        <w:wordWrap/>
        <w:overflowPunct/>
        <w:topLinePunct w:val="0"/>
        <w:autoSpaceDE/>
        <w:autoSpaceDN/>
        <w:bidi w:val="0"/>
        <w:snapToGrid/>
        <w:spacing w:before="32" w:beforeLines="10" w:after="32" w:afterLines="10" w:line="480" w:lineRule="auto"/>
        <w:ind w:left="720" w:hanging="72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 投标人资格要求</w:t>
      </w:r>
    </w:p>
    <w:p w14:paraId="0B6F3FFF">
      <w:pPr>
        <w:pageBreakBefore w:val="0"/>
        <w:widowControl w:val="0"/>
        <w:kinsoku/>
        <w:wordWrap/>
        <w:overflowPunct/>
        <w:topLinePunct w:val="0"/>
        <w:autoSpaceDE/>
        <w:autoSpaceDN/>
        <w:bidi w:val="0"/>
        <w:snapToGrid/>
        <w:spacing w:before="32" w:beforeLines="10" w:after="32" w:afterLines="10" w:line="48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投标人须具备建设行政主管部门核发的工程勘察综合资质甲级或工程勘察专业岩土工程乙级及以上或岩土工程（分项）岩土工程勘察乙级及以上资质，并在人员、设备、资金等方面具有相应的勘察编制能力。</w:t>
      </w:r>
    </w:p>
    <w:p w14:paraId="36ABFC35">
      <w:pPr>
        <w:pageBreakBefore w:val="0"/>
        <w:widowControl w:val="0"/>
        <w:kinsoku/>
        <w:wordWrap/>
        <w:overflowPunct/>
        <w:topLinePunct w:val="0"/>
        <w:autoSpaceDE/>
        <w:autoSpaceDN/>
        <w:bidi w:val="0"/>
        <w:snapToGrid/>
        <w:spacing w:before="32" w:beforeLines="10" w:after="32" w:afterLines="10" w:line="48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（2）投标人拟派项目负责人须具备国家注册土木工程师（岩土）资格。</w:t>
      </w:r>
    </w:p>
    <w:p w14:paraId="753C6E47">
      <w:pPr>
        <w:pageBreakBefore w:val="0"/>
        <w:widowControl w:val="0"/>
        <w:kinsoku/>
        <w:wordWrap/>
        <w:overflowPunct/>
        <w:topLinePunct w:val="0"/>
        <w:autoSpaceDE/>
        <w:autoSpaceDN/>
        <w:bidi w:val="0"/>
        <w:snapToGrid/>
        <w:spacing w:before="32" w:beforeLines="10" w:after="32" w:afterLines="10" w:line="480" w:lineRule="auto"/>
        <w:ind w:firstLine="480" w:firstLineChars="200"/>
        <w:rPr>
          <w:rFonts w:hint="eastAsia" w:ascii="宋体" w:hAnsi="宋体" w:eastAsia="宋体" w:cs="宋体"/>
          <w:color w:val="auto"/>
          <w:kern w:val="24"/>
          <w:sz w:val="24"/>
          <w:highlight w:val="none"/>
        </w:rPr>
      </w:pPr>
      <w:r>
        <w:rPr>
          <w:rFonts w:hint="eastAsia" w:ascii="宋体" w:hAnsi="宋体" w:eastAsia="宋体" w:cs="宋体"/>
          <w:color w:val="auto"/>
          <w:kern w:val="24"/>
          <w:sz w:val="24"/>
          <w:highlight w:val="none"/>
        </w:rPr>
        <w:t>（</w:t>
      </w:r>
      <w:r>
        <w:rPr>
          <w:rFonts w:hint="eastAsia" w:ascii="宋体" w:hAnsi="宋体" w:eastAsia="宋体" w:cs="宋体"/>
          <w:color w:val="auto"/>
          <w:kern w:val="24"/>
          <w:sz w:val="24"/>
          <w:highlight w:val="none"/>
          <w:lang w:val="en-US" w:eastAsia="zh-CN"/>
        </w:rPr>
        <w:t>3</w:t>
      </w:r>
      <w:r>
        <w:rPr>
          <w:rFonts w:hint="eastAsia" w:ascii="宋体" w:hAnsi="宋体" w:eastAsia="宋体" w:cs="宋体"/>
          <w:color w:val="auto"/>
          <w:kern w:val="24"/>
          <w:sz w:val="24"/>
          <w:highlight w:val="none"/>
        </w:rPr>
        <w:t>）本项目不接受联合体投标</w:t>
      </w:r>
    </w:p>
    <w:p w14:paraId="5EC35076">
      <w:pPr>
        <w:pStyle w:val="5"/>
        <w:pageBreakBefore w:val="0"/>
        <w:widowControl w:val="0"/>
        <w:numPr>
          <w:ilvl w:val="0"/>
          <w:numId w:val="0"/>
        </w:numPr>
        <w:kinsoku/>
        <w:wordWrap/>
        <w:overflowPunct/>
        <w:topLinePunct w:val="0"/>
        <w:autoSpaceDE/>
        <w:autoSpaceDN/>
        <w:bidi w:val="0"/>
        <w:snapToGrid/>
        <w:spacing w:before="32" w:beforeLines="10" w:after="32" w:afterLines="10" w:line="480" w:lineRule="auto"/>
        <w:ind w:left="720" w:hanging="72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 招标文件的领取</w:t>
      </w:r>
    </w:p>
    <w:p w14:paraId="35F5CA08">
      <w:pPr>
        <w:pageBreakBefore w:val="0"/>
        <w:widowControl w:val="0"/>
        <w:kinsoku/>
        <w:wordWrap/>
        <w:overflowPunct/>
        <w:topLinePunct w:val="0"/>
        <w:autoSpaceDE/>
        <w:autoSpaceDN/>
        <w:bidi w:val="0"/>
        <w:snapToGrid/>
        <w:spacing w:before="32" w:beforeLines="10" w:after="32" w:afterLines="10" w:line="48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1.领取时间：202</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u w:val="single"/>
          <w:lang w:val="en-US" w:eastAsia="zh-CN"/>
        </w:rPr>
        <w:t>9</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single"/>
          <w:lang w:val="en-US" w:eastAsia="zh-CN"/>
        </w:rPr>
        <w:t>25</w:t>
      </w:r>
      <w:r>
        <w:rPr>
          <w:rFonts w:hint="eastAsia" w:ascii="宋体" w:hAnsi="宋体" w:eastAsia="宋体" w:cs="宋体"/>
          <w:color w:val="auto"/>
          <w:sz w:val="24"/>
          <w:highlight w:val="none"/>
        </w:rPr>
        <w:t>日08时30分至202</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u w:val="single"/>
          <w:lang w:val="en-US" w:eastAsia="zh-CN"/>
        </w:rPr>
        <w:t>10</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single"/>
          <w:lang w:val="en-US" w:eastAsia="zh-CN"/>
        </w:rPr>
        <w:t>9</w:t>
      </w:r>
      <w:r>
        <w:rPr>
          <w:rFonts w:hint="eastAsia" w:ascii="宋体" w:hAnsi="宋体" w:eastAsia="宋体" w:cs="宋体"/>
          <w:color w:val="auto"/>
          <w:sz w:val="24"/>
          <w:highlight w:val="none"/>
        </w:rPr>
        <w:t>日16时00分</w:t>
      </w:r>
      <w:r>
        <w:rPr>
          <w:rFonts w:hint="eastAsia" w:ascii="宋体" w:hAnsi="宋体" w:eastAsia="宋体" w:cs="宋体"/>
          <w:color w:val="auto"/>
          <w:sz w:val="24"/>
          <w:highlight w:val="none"/>
          <w:lang w:eastAsia="zh-CN"/>
        </w:rPr>
        <w:t>（北京时间，节假日除外）</w:t>
      </w:r>
      <w:r>
        <w:rPr>
          <w:rFonts w:hint="eastAsia" w:ascii="宋体" w:hAnsi="宋体" w:eastAsia="宋体" w:cs="宋体"/>
          <w:color w:val="auto"/>
          <w:sz w:val="24"/>
          <w:highlight w:val="none"/>
        </w:rPr>
        <w:t>。</w:t>
      </w:r>
    </w:p>
    <w:p w14:paraId="6D7E145A">
      <w:pPr>
        <w:pageBreakBefore w:val="0"/>
        <w:widowControl w:val="0"/>
        <w:kinsoku/>
        <w:wordWrap/>
        <w:overflowPunct/>
        <w:topLinePunct w:val="0"/>
        <w:autoSpaceDE/>
        <w:autoSpaceDN/>
        <w:bidi w:val="0"/>
        <w:snapToGrid/>
        <w:spacing w:before="32" w:beforeLines="10" w:after="32" w:afterLines="10" w:line="48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地点：辽宁万莱招投标有限公司</w:t>
      </w:r>
    </w:p>
    <w:p w14:paraId="1FCCBFB2">
      <w:pPr>
        <w:pageBreakBefore w:val="0"/>
        <w:widowControl w:val="0"/>
        <w:kinsoku/>
        <w:wordWrap/>
        <w:overflowPunct/>
        <w:topLinePunct w:val="0"/>
        <w:autoSpaceDE/>
        <w:autoSpaceDN/>
        <w:bidi w:val="0"/>
        <w:snapToGrid/>
        <w:spacing w:before="32" w:beforeLines="10" w:after="32" w:afterLines="10" w:line="480" w:lineRule="auto"/>
        <w:ind w:firstLine="480" w:firstLineChars="200"/>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方式：</w:t>
      </w:r>
      <w:r>
        <w:rPr>
          <w:rFonts w:hint="eastAsia" w:ascii="宋体" w:hAnsi="宋体" w:eastAsia="宋体" w:cs="宋体"/>
          <w:color w:val="auto"/>
          <w:sz w:val="24"/>
          <w:highlight w:val="none"/>
          <w:lang w:eastAsia="zh-CN"/>
        </w:rPr>
        <w:t>现场</w:t>
      </w:r>
    </w:p>
    <w:p w14:paraId="0E77955E">
      <w:pPr>
        <w:pageBreakBefore w:val="0"/>
        <w:widowControl w:val="0"/>
        <w:kinsoku/>
        <w:wordWrap/>
        <w:overflowPunct/>
        <w:topLinePunct w:val="0"/>
        <w:autoSpaceDE/>
        <w:autoSpaceDN/>
        <w:bidi w:val="0"/>
        <w:snapToGrid/>
        <w:spacing w:before="32" w:beforeLines="10" w:after="32" w:afterLines="10" w:line="48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售价：500元/套，售后不退。</w:t>
      </w:r>
    </w:p>
    <w:p w14:paraId="3308A12F">
      <w:pPr>
        <w:pStyle w:val="5"/>
        <w:pageBreakBefore w:val="0"/>
        <w:widowControl w:val="0"/>
        <w:numPr>
          <w:ilvl w:val="0"/>
          <w:numId w:val="0"/>
        </w:numPr>
        <w:kinsoku/>
        <w:wordWrap/>
        <w:overflowPunct/>
        <w:topLinePunct w:val="0"/>
        <w:autoSpaceDE/>
        <w:autoSpaceDN/>
        <w:bidi w:val="0"/>
        <w:snapToGrid/>
        <w:spacing w:before="32" w:beforeLines="10" w:after="32" w:afterLines="10" w:line="480" w:lineRule="auto"/>
        <w:ind w:left="720" w:hanging="72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 投标保证金或投标担保金额：</w:t>
      </w:r>
      <w:r>
        <w:rPr>
          <w:rFonts w:hint="eastAsia" w:ascii="宋体" w:hAnsi="宋体" w:eastAsia="宋体" w:cs="宋体"/>
          <w:color w:val="auto"/>
          <w:sz w:val="24"/>
          <w:szCs w:val="24"/>
          <w:highlight w:val="none"/>
          <w:u w:val="single"/>
          <w:lang w:val="en-US" w:eastAsia="zh-CN"/>
        </w:rPr>
        <w:t>0</w:t>
      </w:r>
      <w:r>
        <w:rPr>
          <w:rFonts w:hint="eastAsia" w:ascii="宋体" w:hAnsi="宋体" w:eastAsia="宋体" w:cs="宋体"/>
          <w:color w:val="auto"/>
          <w:sz w:val="24"/>
          <w:szCs w:val="24"/>
          <w:highlight w:val="none"/>
        </w:rPr>
        <w:t>元。</w:t>
      </w:r>
    </w:p>
    <w:p w14:paraId="072A6377">
      <w:pPr>
        <w:pStyle w:val="5"/>
        <w:pageBreakBefore w:val="0"/>
        <w:widowControl w:val="0"/>
        <w:numPr>
          <w:ilvl w:val="0"/>
          <w:numId w:val="0"/>
        </w:numPr>
        <w:kinsoku/>
        <w:wordWrap/>
        <w:overflowPunct/>
        <w:topLinePunct w:val="0"/>
        <w:autoSpaceDE/>
        <w:autoSpaceDN/>
        <w:bidi w:val="0"/>
        <w:snapToGrid/>
        <w:spacing w:before="32" w:beforeLines="10" w:after="32" w:afterLines="10" w:line="480" w:lineRule="auto"/>
        <w:ind w:left="720" w:hanging="72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 投标文件的递交</w:t>
      </w:r>
    </w:p>
    <w:p w14:paraId="6F25473E">
      <w:pPr>
        <w:pageBreakBefore w:val="0"/>
        <w:widowControl w:val="0"/>
        <w:kinsoku/>
        <w:wordWrap/>
        <w:overflowPunct/>
        <w:topLinePunct w:val="0"/>
        <w:autoSpaceDE/>
        <w:autoSpaceDN/>
        <w:bidi w:val="0"/>
        <w:snapToGrid/>
        <w:spacing w:before="32" w:beforeLines="10" w:after="32" w:afterLines="10" w:line="48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6.1 投标文件递交的截止时间（投标截止时间）为202</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u w:val="single"/>
          <w:lang w:val="en-US" w:eastAsia="zh-CN"/>
        </w:rPr>
        <w:t>10</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single"/>
          <w:lang w:val="en-US" w:eastAsia="zh-CN"/>
        </w:rPr>
        <w:t>16</w:t>
      </w:r>
      <w:r>
        <w:rPr>
          <w:rFonts w:hint="eastAsia" w:ascii="宋体" w:hAnsi="宋体" w:eastAsia="宋体" w:cs="宋体"/>
          <w:color w:val="auto"/>
          <w:sz w:val="24"/>
          <w:highlight w:val="none"/>
        </w:rPr>
        <w:t>日</w:t>
      </w:r>
      <w:r>
        <w:rPr>
          <w:rFonts w:hint="eastAsia" w:ascii="宋体" w:hAnsi="宋体" w:eastAsia="宋体" w:cs="宋体"/>
          <w:color w:val="auto"/>
          <w:sz w:val="24"/>
          <w:highlight w:val="none"/>
          <w:u w:val="single"/>
        </w:rPr>
        <w:t>9</w:t>
      </w:r>
      <w:r>
        <w:rPr>
          <w:rFonts w:hint="eastAsia" w:ascii="宋体" w:hAnsi="宋体" w:eastAsia="宋体" w:cs="宋体"/>
          <w:color w:val="auto"/>
          <w:sz w:val="24"/>
          <w:highlight w:val="none"/>
        </w:rPr>
        <w:t>时</w:t>
      </w:r>
      <w:r>
        <w:rPr>
          <w:rFonts w:hint="eastAsia" w:ascii="宋体" w:hAnsi="宋体" w:eastAsia="宋体" w:cs="宋体"/>
          <w:color w:val="auto"/>
          <w:sz w:val="24"/>
          <w:highlight w:val="none"/>
          <w:u w:val="single"/>
          <w:lang w:val="en-US" w:eastAsia="zh-CN"/>
        </w:rPr>
        <w:t>3</w:t>
      </w:r>
      <w:r>
        <w:rPr>
          <w:rFonts w:hint="eastAsia" w:ascii="宋体" w:hAnsi="宋体" w:eastAsia="宋体" w:cs="宋体"/>
          <w:color w:val="auto"/>
          <w:sz w:val="24"/>
          <w:highlight w:val="none"/>
          <w:u w:val="single"/>
        </w:rPr>
        <w:t>0</w:t>
      </w:r>
      <w:r>
        <w:rPr>
          <w:rFonts w:hint="eastAsia" w:ascii="宋体" w:hAnsi="宋体" w:eastAsia="宋体" w:cs="宋体"/>
          <w:color w:val="auto"/>
          <w:sz w:val="24"/>
          <w:highlight w:val="none"/>
        </w:rPr>
        <w:t>分，投标文件递交的地点为辽宁万莱招投标有限公司会议室（营口市万达营销中心11楼1112号）。</w:t>
      </w:r>
    </w:p>
    <w:p w14:paraId="7134A836">
      <w:pPr>
        <w:pageBreakBefore w:val="0"/>
        <w:widowControl w:val="0"/>
        <w:kinsoku/>
        <w:wordWrap/>
        <w:overflowPunct/>
        <w:topLinePunct w:val="0"/>
        <w:autoSpaceDE/>
        <w:autoSpaceDN/>
        <w:bidi w:val="0"/>
        <w:snapToGrid/>
        <w:spacing w:before="32" w:beforeLines="10" w:after="32" w:afterLines="10" w:line="48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6.2 投标文件须密封后于（开标当日）投标截止时间前递至开标地点。</w:t>
      </w:r>
    </w:p>
    <w:p w14:paraId="666D9444">
      <w:pPr>
        <w:pageBreakBefore w:val="0"/>
        <w:widowControl w:val="0"/>
        <w:kinsoku/>
        <w:wordWrap/>
        <w:overflowPunct/>
        <w:topLinePunct w:val="0"/>
        <w:autoSpaceDE/>
        <w:autoSpaceDN/>
        <w:bidi w:val="0"/>
        <w:snapToGrid/>
        <w:spacing w:before="32" w:beforeLines="10" w:after="32" w:afterLines="10" w:line="48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6.3逾期送达或者未送达到指定地点，招标人不予授理。</w:t>
      </w:r>
    </w:p>
    <w:p w14:paraId="3E39667F">
      <w:pPr>
        <w:pStyle w:val="5"/>
        <w:pageBreakBefore w:val="0"/>
        <w:widowControl w:val="0"/>
        <w:numPr>
          <w:ilvl w:val="0"/>
          <w:numId w:val="0"/>
        </w:numPr>
        <w:tabs>
          <w:tab w:val="left" w:pos="142"/>
        </w:tabs>
        <w:kinsoku/>
        <w:wordWrap/>
        <w:overflowPunct/>
        <w:topLinePunct w:val="0"/>
        <w:autoSpaceDE/>
        <w:autoSpaceDN/>
        <w:bidi w:val="0"/>
        <w:snapToGrid/>
        <w:spacing w:before="32" w:beforeLines="10" w:after="32" w:afterLines="10" w:line="480" w:lineRule="auto"/>
        <w:rPr>
          <w:rFonts w:hint="eastAsia" w:ascii="宋体" w:hAnsi="宋体" w:eastAsia="宋体" w:cs="宋体"/>
          <w:color w:val="auto"/>
          <w:sz w:val="24"/>
          <w:szCs w:val="24"/>
          <w:highlight w:val="none"/>
          <w:lang w:eastAsia="zh-CN"/>
        </w:rPr>
      </w:pPr>
      <w:r>
        <w:rPr>
          <w:rFonts w:hint="eastAsia" w:ascii="宋体" w:hAnsi="宋体" w:eastAsia="宋体" w:cs="宋体"/>
          <w:bCs/>
          <w:color w:val="auto"/>
          <w:kern w:val="2"/>
          <w:sz w:val="24"/>
          <w:szCs w:val="24"/>
          <w:highlight w:val="none"/>
        </w:rPr>
        <w:t>7</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其他说明</w:t>
      </w:r>
    </w:p>
    <w:p w14:paraId="10DDA62C">
      <w:pPr>
        <w:pageBreakBefore w:val="0"/>
        <w:widowControl w:val="0"/>
        <w:kinsoku/>
        <w:wordWrap/>
        <w:overflowPunct/>
        <w:topLinePunct w:val="0"/>
        <w:autoSpaceDE/>
        <w:autoSpaceDN/>
        <w:bidi w:val="0"/>
        <w:snapToGrid/>
        <w:spacing w:before="32" w:beforeLines="10" w:after="32" w:afterLines="10"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1</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投标人领取招标文件方式：</w:t>
      </w:r>
    </w:p>
    <w:p w14:paraId="61FBE791">
      <w:pPr>
        <w:pageBreakBefore w:val="0"/>
        <w:widowControl w:val="0"/>
        <w:kinsoku/>
        <w:wordWrap/>
        <w:overflowPunct/>
        <w:topLinePunct w:val="0"/>
        <w:autoSpaceDE/>
        <w:autoSpaceDN/>
        <w:bidi w:val="0"/>
        <w:snapToGrid/>
        <w:spacing w:before="32" w:beforeLines="10" w:after="32" w:afterLines="10" w:line="500" w:lineRule="exact"/>
        <w:ind w:firstLine="480" w:firstLineChars="200"/>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1）线上领取招标文件：发送以下材料到 lnwlztbgs@163.com 邮箱线上报名，①营业执照扫描件；②法定代表人身份证明书原件；③授权委托书原件（法定代表人购买招标文件的无需提供），以上资料加盖公章；④备注</w:t>
      </w:r>
      <w:r>
        <w:rPr>
          <w:rFonts w:hint="eastAsia" w:ascii="宋体" w:hAnsi="宋体" w:cs="宋体"/>
          <w:color w:val="auto"/>
          <w:sz w:val="24"/>
          <w:highlight w:val="none"/>
          <w:lang w:val="en-US" w:eastAsia="zh-CN"/>
        </w:rPr>
        <w:t>项目名称、项目编号、</w:t>
      </w:r>
      <w:bookmarkStart w:id="0" w:name="_GoBack"/>
      <w:bookmarkEnd w:id="0"/>
      <w:r>
        <w:rPr>
          <w:rFonts w:hint="eastAsia" w:ascii="宋体" w:hAnsi="宋体" w:eastAsia="宋体" w:cs="宋体"/>
          <w:color w:val="auto"/>
          <w:sz w:val="24"/>
          <w:highlight w:val="none"/>
          <w:lang w:eastAsia="zh-CN"/>
        </w:rPr>
        <w:t>联系人、电话、邮箱及开票信息，如因投标人信息提供不全面，不能及时发送招标文件的，投标人自行负责。</w:t>
      </w:r>
    </w:p>
    <w:p w14:paraId="3AFBE1D5">
      <w:pPr>
        <w:pageBreakBefore w:val="0"/>
        <w:widowControl w:val="0"/>
        <w:kinsoku/>
        <w:wordWrap/>
        <w:overflowPunct/>
        <w:topLinePunct w:val="0"/>
        <w:autoSpaceDE/>
        <w:autoSpaceDN/>
        <w:bidi w:val="0"/>
        <w:snapToGrid/>
        <w:spacing w:before="32" w:beforeLines="10" w:after="32" w:afterLines="10" w:line="500" w:lineRule="exact"/>
        <w:ind w:firstLine="480" w:firstLineChars="200"/>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2）现场领取招标文件：携带以下材料到辽宁万莱招投标有限公司现场报名，①营业执照复印件；②法定代表人身份证明书原件；③授权委托书原件（法定代表人购买招标文件的无需提供），以上资料加盖公章。</w:t>
      </w:r>
    </w:p>
    <w:p w14:paraId="7D5623EB">
      <w:pPr>
        <w:pageBreakBefore w:val="0"/>
        <w:widowControl w:val="0"/>
        <w:kinsoku/>
        <w:wordWrap/>
        <w:overflowPunct/>
        <w:topLinePunct w:val="0"/>
        <w:autoSpaceDE/>
        <w:autoSpaceDN/>
        <w:bidi w:val="0"/>
        <w:snapToGrid/>
        <w:spacing w:before="32" w:beforeLines="10" w:after="32" w:afterLines="10" w:line="500" w:lineRule="exact"/>
        <w:ind w:firstLine="480" w:firstLineChars="200"/>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开户行：中国银行股份有限公司营口政务服务中心支行；</w:t>
      </w:r>
    </w:p>
    <w:p w14:paraId="5DBE545A">
      <w:pPr>
        <w:pageBreakBefore w:val="0"/>
        <w:widowControl w:val="0"/>
        <w:kinsoku/>
        <w:wordWrap/>
        <w:overflowPunct/>
        <w:topLinePunct w:val="0"/>
        <w:autoSpaceDE/>
        <w:autoSpaceDN/>
        <w:bidi w:val="0"/>
        <w:snapToGrid/>
        <w:spacing w:before="32" w:beforeLines="10" w:after="32" w:afterLines="10" w:line="500" w:lineRule="exact"/>
        <w:ind w:firstLine="480" w:firstLineChars="200"/>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账户名称：辽宁万莱招投标有限公司；</w:t>
      </w:r>
    </w:p>
    <w:p w14:paraId="379475F0">
      <w:pPr>
        <w:pageBreakBefore w:val="0"/>
        <w:widowControl w:val="0"/>
        <w:kinsoku/>
        <w:wordWrap/>
        <w:overflowPunct/>
        <w:topLinePunct w:val="0"/>
        <w:autoSpaceDE/>
        <w:autoSpaceDN/>
        <w:bidi w:val="0"/>
        <w:snapToGrid/>
        <w:spacing w:before="32" w:beforeLines="10" w:after="32" w:afterLines="10" w:line="500" w:lineRule="exact"/>
        <w:ind w:firstLine="480" w:firstLineChars="200"/>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账号：318147004883；</w:t>
      </w:r>
    </w:p>
    <w:p w14:paraId="541EEBB7">
      <w:pPr>
        <w:pageBreakBefore w:val="0"/>
        <w:widowControl w:val="0"/>
        <w:kinsoku/>
        <w:wordWrap/>
        <w:overflowPunct/>
        <w:topLinePunct w:val="0"/>
        <w:autoSpaceDE/>
        <w:autoSpaceDN/>
        <w:bidi w:val="0"/>
        <w:snapToGrid/>
        <w:spacing w:before="32" w:beforeLines="10" w:after="32" w:afterLines="10"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本项目为资格后审，如因</w:t>
      </w:r>
      <w:r>
        <w:rPr>
          <w:rFonts w:hint="eastAsia" w:ascii="宋体" w:hAnsi="宋体" w:eastAsia="宋体" w:cs="宋体"/>
          <w:color w:val="auto"/>
          <w:sz w:val="24"/>
          <w:highlight w:val="none"/>
          <w:lang w:eastAsia="zh-CN"/>
        </w:rPr>
        <w:t>投标人</w:t>
      </w:r>
      <w:r>
        <w:rPr>
          <w:rFonts w:hint="eastAsia" w:ascii="宋体" w:hAnsi="宋体" w:eastAsia="宋体" w:cs="宋体"/>
          <w:color w:val="auto"/>
          <w:sz w:val="24"/>
          <w:highlight w:val="none"/>
        </w:rPr>
        <w:t>对招标公告（招标文件）理解不到位导致资格审查和符合性审查不予通过的，</w:t>
      </w:r>
      <w:r>
        <w:rPr>
          <w:rFonts w:hint="eastAsia" w:ascii="宋体" w:hAnsi="宋体" w:eastAsia="宋体" w:cs="宋体"/>
          <w:color w:val="auto"/>
          <w:sz w:val="24"/>
          <w:highlight w:val="none"/>
          <w:lang w:eastAsia="zh-CN"/>
        </w:rPr>
        <w:t>投标人</w:t>
      </w:r>
      <w:r>
        <w:rPr>
          <w:rFonts w:hint="eastAsia" w:ascii="宋体" w:hAnsi="宋体" w:eastAsia="宋体" w:cs="宋体"/>
          <w:color w:val="auto"/>
          <w:sz w:val="24"/>
          <w:highlight w:val="none"/>
        </w:rPr>
        <w:t>自行负责。</w:t>
      </w:r>
    </w:p>
    <w:p w14:paraId="09C36A1A">
      <w:pPr>
        <w:pStyle w:val="5"/>
        <w:pageBreakBefore w:val="0"/>
        <w:widowControl w:val="0"/>
        <w:numPr>
          <w:ilvl w:val="0"/>
          <w:numId w:val="0"/>
        </w:numPr>
        <w:shd w:val="clear" w:color="auto" w:fill="auto"/>
        <w:kinsoku/>
        <w:wordWrap/>
        <w:overflowPunct/>
        <w:topLinePunct w:val="0"/>
        <w:autoSpaceDE/>
        <w:autoSpaceDN/>
        <w:bidi w:val="0"/>
        <w:snapToGrid/>
        <w:spacing w:before="32" w:beforeLines="10" w:after="32" w:afterLines="10" w:line="480" w:lineRule="auto"/>
        <w:ind w:left="720" w:hanging="72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联系方式</w:t>
      </w:r>
    </w:p>
    <w:p w14:paraId="5806D792">
      <w:pPr>
        <w:keepNext w:val="0"/>
        <w:keepLines w:val="0"/>
        <w:pageBreakBefore w:val="0"/>
        <w:widowControl w:val="0"/>
        <w:shd w:val="clear" w:color="auto" w:fill="auto"/>
        <w:kinsoku/>
        <w:wordWrap/>
        <w:overflowPunct/>
        <w:topLinePunct w:val="0"/>
        <w:autoSpaceDE/>
        <w:autoSpaceDN/>
        <w:bidi w:val="0"/>
        <w:adjustRightInd/>
        <w:snapToGrid/>
        <w:spacing w:before="32" w:beforeLines="10" w:after="32" w:afterLines="10" w:line="48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招   标   人：</w:t>
      </w:r>
      <w:r>
        <w:rPr>
          <w:rFonts w:hint="eastAsia" w:ascii="宋体" w:hAnsi="宋体" w:eastAsia="宋体" w:cs="宋体"/>
          <w:bCs/>
          <w:color w:val="auto"/>
          <w:kern w:val="0"/>
          <w:sz w:val="24"/>
          <w:highlight w:val="none"/>
        </w:rPr>
        <w:t>国网辽宁省电力有限公司营口供电公司</w:t>
      </w:r>
    </w:p>
    <w:p w14:paraId="29316193">
      <w:pPr>
        <w:keepNext w:val="0"/>
        <w:keepLines w:val="0"/>
        <w:pageBreakBefore w:val="0"/>
        <w:widowControl w:val="0"/>
        <w:shd w:val="clear" w:color="auto" w:fill="auto"/>
        <w:kinsoku/>
        <w:wordWrap/>
        <w:overflowPunct/>
        <w:topLinePunct w:val="0"/>
        <w:autoSpaceDE/>
        <w:autoSpaceDN/>
        <w:bidi w:val="0"/>
        <w:adjustRightInd/>
        <w:snapToGrid/>
        <w:spacing w:before="32" w:beforeLines="10" w:after="32" w:afterLines="10" w:line="48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        址：营口市站前区渤海大街东40号</w:t>
      </w:r>
    </w:p>
    <w:p w14:paraId="7BE583F1">
      <w:pPr>
        <w:keepNext w:val="0"/>
        <w:keepLines w:val="0"/>
        <w:pageBreakBefore w:val="0"/>
        <w:widowControl w:val="0"/>
        <w:shd w:val="clear" w:color="auto" w:fill="auto"/>
        <w:kinsoku/>
        <w:wordWrap/>
        <w:overflowPunct/>
        <w:topLinePunct w:val="0"/>
        <w:autoSpaceDE/>
        <w:autoSpaceDN/>
        <w:bidi w:val="0"/>
        <w:adjustRightInd/>
        <w:snapToGrid/>
        <w:spacing w:before="32" w:beforeLines="10" w:after="32" w:afterLines="10" w:line="480" w:lineRule="auto"/>
        <w:ind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联   系   人：</w:t>
      </w:r>
      <w:r>
        <w:rPr>
          <w:rFonts w:hint="eastAsia" w:ascii="宋体" w:hAnsi="宋体" w:eastAsia="宋体" w:cs="宋体"/>
          <w:color w:val="auto"/>
          <w:sz w:val="24"/>
          <w:highlight w:val="none"/>
          <w:lang w:eastAsia="zh-CN"/>
        </w:rPr>
        <w:t>苏先生</w:t>
      </w:r>
    </w:p>
    <w:p w14:paraId="6CC44667">
      <w:pPr>
        <w:keepNext w:val="0"/>
        <w:keepLines w:val="0"/>
        <w:pageBreakBefore w:val="0"/>
        <w:widowControl w:val="0"/>
        <w:shd w:val="clear" w:color="auto" w:fill="auto"/>
        <w:kinsoku/>
        <w:wordWrap/>
        <w:overflowPunct/>
        <w:topLinePunct w:val="0"/>
        <w:autoSpaceDE/>
        <w:autoSpaceDN/>
        <w:bidi w:val="0"/>
        <w:adjustRightInd/>
        <w:snapToGrid/>
        <w:spacing w:before="32" w:beforeLines="10" w:after="32" w:afterLines="10" w:line="48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电        话：0417-2994659 </w:t>
      </w:r>
    </w:p>
    <w:p w14:paraId="41088BEB">
      <w:pPr>
        <w:keepNext w:val="0"/>
        <w:keepLines w:val="0"/>
        <w:pageBreakBefore w:val="0"/>
        <w:widowControl w:val="0"/>
        <w:shd w:val="clear" w:color="auto" w:fill="auto"/>
        <w:kinsoku/>
        <w:wordWrap/>
        <w:overflowPunct/>
        <w:topLinePunct w:val="0"/>
        <w:autoSpaceDE/>
        <w:autoSpaceDN/>
        <w:bidi w:val="0"/>
        <w:adjustRightInd/>
        <w:snapToGrid/>
        <w:spacing w:before="32" w:beforeLines="10" w:after="32" w:afterLines="10" w:line="48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w:t>
      </w:r>
    </w:p>
    <w:p w14:paraId="3972A6EA">
      <w:pPr>
        <w:keepNext w:val="0"/>
        <w:keepLines w:val="0"/>
        <w:pageBreakBefore w:val="0"/>
        <w:widowControl w:val="0"/>
        <w:shd w:val="clear" w:color="auto" w:fill="auto"/>
        <w:kinsoku/>
        <w:wordWrap/>
        <w:overflowPunct/>
        <w:topLinePunct w:val="0"/>
        <w:autoSpaceDE/>
        <w:autoSpaceDN/>
        <w:bidi w:val="0"/>
        <w:adjustRightInd/>
        <w:snapToGrid/>
        <w:spacing w:before="32" w:beforeLines="10" w:after="32" w:afterLines="10" w:line="48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招标代理机构：辽宁万莱招投标有限公司                                        </w:t>
      </w:r>
    </w:p>
    <w:p w14:paraId="1B8F3589">
      <w:pPr>
        <w:keepNext w:val="0"/>
        <w:keepLines w:val="0"/>
        <w:pageBreakBefore w:val="0"/>
        <w:widowControl w:val="0"/>
        <w:shd w:val="clear" w:color="auto" w:fill="auto"/>
        <w:kinsoku/>
        <w:wordWrap/>
        <w:overflowPunct/>
        <w:topLinePunct w:val="0"/>
        <w:autoSpaceDE/>
        <w:autoSpaceDN/>
        <w:bidi w:val="0"/>
        <w:adjustRightInd/>
        <w:snapToGrid/>
        <w:spacing w:before="32" w:beforeLines="10" w:after="32" w:afterLines="10" w:line="48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地        址：营口市万达营销中心11楼1112号　                                          </w:t>
      </w:r>
    </w:p>
    <w:p w14:paraId="43024648">
      <w:pPr>
        <w:keepNext w:val="0"/>
        <w:keepLines w:val="0"/>
        <w:pageBreakBefore w:val="0"/>
        <w:widowControl w:val="0"/>
        <w:shd w:val="clear" w:color="auto" w:fill="auto"/>
        <w:kinsoku/>
        <w:wordWrap/>
        <w:overflowPunct/>
        <w:topLinePunct w:val="0"/>
        <w:autoSpaceDE/>
        <w:autoSpaceDN/>
        <w:bidi w:val="0"/>
        <w:adjustRightInd/>
        <w:snapToGrid/>
        <w:spacing w:before="32" w:beforeLines="10" w:after="32" w:afterLines="10" w:line="48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联   系   人：原秀杰</w:t>
      </w:r>
    </w:p>
    <w:p w14:paraId="75E74B62">
      <w:pPr>
        <w:keepNext w:val="0"/>
        <w:keepLines w:val="0"/>
        <w:pageBreakBefore w:val="0"/>
        <w:widowControl w:val="0"/>
        <w:shd w:val="clear" w:color="auto" w:fill="auto"/>
        <w:kinsoku/>
        <w:wordWrap/>
        <w:overflowPunct/>
        <w:topLinePunct w:val="0"/>
        <w:autoSpaceDE/>
        <w:autoSpaceDN/>
        <w:bidi w:val="0"/>
        <w:adjustRightInd/>
        <w:snapToGrid/>
        <w:spacing w:before="32" w:beforeLines="10" w:after="32" w:afterLines="10" w:line="48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电        话：0417-3572800  </w:t>
      </w:r>
    </w:p>
    <w:p w14:paraId="3B095551">
      <w:pPr>
        <w:keepNext w:val="0"/>
        <w:keepLines w:val="0"/>
        <w:pageBreakBefore w:val="0"/>
        <w:widowControl w:val="0"/>
        <w:shd w:val="clear" w:color="auto" w:fill="auto"/>
        <w:kinsoku/>
        <w:wordWrap/>
        <w:overflowPunct/>
        <w:topLinePunct w:val="0"/>
        <w:autoSpaceDE/>
        <w:autoSpaceDN/>
        <w:bidi w:val="0"/>
        <w:adjustRightInd/>
        <w:snapToGrid/>
        <w:spacing w:before="32" w:beforeLines="10" w:after="32" w:afterLines="10" w:line="480" w:lineRule="auto"/>
        <w:ind w:firstLine="480" w:firstLineChars="200"/>
        <w:textAlignment w:val="auto"/>
        <w:rPr>
          <w:rFonts w:hint="eastAsia" w:ascii="宋体" w:hAnsi="宋体" w:eastAsia="宋体" w:cs="宋体"/>
          <w:color w:val="auto"/>
          <w:sz w:val="24"/>
          <w:highlight w:val="none"/>
        </w:rPr>
      </w:pPr>
    </w:p>
    <w:p w14:paraId="6E34E62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decorative"/>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E45A5B"/>
    <w:rsid w:val="03424A18"/>
    <w:rsid w:val="04AE1D92"/>
    <w:rsid w:val="06C14E50"/>
    <w:rsid w:val="08D97F08"/>
    <w:rsid w:val="0DB53A2A"/>
    <w:rsid w:val="119767EA"/>
    <w:rsid w:val="192542F7"/>
    <w:rsid w:val="1AA64E69"/>
    <w:rsid w:val="1B1C43D5"/>
    <w:rsid w:val="1E9E4585"/>
    <w:rsid w:val="223A0D4A"/>
    <w:rsid w:val="22E45A5B"/>
    <w:rsid w:val="237111F5"/>
    <w:rsid w:val="2FD1080F"/>
    <w:rsid w:val="36611A7C"/>
    <w:rsid w:val="3C043BA5"/>
    <w:rsid w:val="3C143197"/>
    <w:rsid w:val="3D19224B"/>
    <w:rsid w:val="3E09506B"/>
    <w:rsid w:val="41882E2E"/>
    <w:rsid w:val="41B873F1"/>
    <w:rsid w:val="422760B8"/>
    <w:rsid w:val="434A1377"/>
    <w:rsid w:val="43D403D5"/>
    <w:rsid w:val="46CE7109"/>
    <w:rsid w:val="476050FB"/>
    <w:rsid w:val="47D80F51"/>
    <w:rsid w:val="48542495"/>
    <w:rsid w:val="4C431819"/>
    <w:rsid w:val="50715259"/>
    <w:rsid w:val="507349E0"/>
    <w:rsid w:val="521C24C6"/>
    <w:rsid w:val="522B4DDF"/>
    <w:rsid w:val="52BD2E3D"/>
    <w:rsid w:val="53512784"/>
    <w:rsid w:val="5E9C3A89"/>
    <w:rsid w:val="63615846"/>
    <w:rsid w:val="6AF02DC7"/>
    <w:rsid w:val="71ED4998"/>
    <w:rsid w:val="73D93DA0"/>
    <w:rsid w:val="7539640F"/>
    <w:rsid w:val="79327D05"/>
    <w:rsid w:val="7A6F5AB6"/>
    <w:rsid w:val="7AFD0E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Autospacing="0" w:afterLines="0" w:afterAutospacing="0" w:line="360" w:lineRule="auto"/>
      <w:jc w:val="center"/>
      <w:outlineLvl w:val="0"/>
    </w:pPr>
    <w:rPr>
      <w:rFonts w:ascii="Times New Roman" w:hAnsi="Times New Roman" w:eastAsia="宋体" w:cs="Times New Roman"/>
      <w:b/>
      <w:kern w:val="44"/>
      <w:sz w:val="52"/>
      <w:szCs w:val="22"/>
    </w:rPr>
  </w:style>
  <w:style w:type="paragraph" w:styleId="4">
    <w:name w:val="heading 2"/>
    <w:basedOn w:val="1"/>
    <w:next w:val="1"/>
    <w:link w:val="10"/>
    <w:semiHidden/>
    <w:unhideWhenUsed/>
    <w:qFormat/>
    <w:uiPriority w:val="0"/>
    <w:pPr>
      <w:keepNext/>
      <w:keepLines/>
      <w:spacing w:before="50" w:beforeLines="50" w:after="50" w:afterLines="50" w:line="360" w:lineRule="auto"/>
      <w:jc w:val="center"/>
      <w:outlineLvl w:val="1"/>
    </w:pPr>
    <w:rPr>
      <w:rFonts w:ascii="Arial" w:hAnsi="Arial" w:eastAsia="宋体" w:cs="Times New Roman"/>
      <w:b/>
      <w:sz w:val="44"/>
      <w:szCs w:val="22"/>
    </w:rPr>
  </w:style>
  <w:style w:type="paragraph" w:styleId="5">
    <w:name w:val="heading 3"/>
    <w:basedOn w:val="1"/>
    <w:next w:val="1"/>
    <w:link w:val="11"/>
    <w:semiHidden/>
    <w:unhideWhenUsed/>
    <w:qFormat/>
    <w:uiPriority w:val="0"/>
    <w:pPr>
      <w:keepNext/>
      <w:keepLines/>
      <w:spacing w:beforeLines="0" w:beforeAutospacing="0" w:afterLines="0" w:afterAutospacing="0" w:line="360" w:lineRule="auto"/>
      <w:jc w:val="left"/>
      <w:outlineLvl w:val="2"/>
    </w:pPr>
    <w:rPr>
      <w:rFonts w:ascii="Times New Roman" w:hAnsi="Times New Roman" w:eastAsia="宋体"/>
      <w:b/>
      <w:sz w:val="32"/>
      <w:szCs w:val="22"/>
    </w:rPr>
  </w:style>
  <w:style w:type="paragraph" w:styleId="6">
    <w:name w:val="heading 4"/>
    <w:basedOn w:val="1"/>
    <w:next w:val="1"/>
    <w:semiHidden/>
    <w:unhideWhenUsed/>
    <w:qFormat/>
    <w:uiPriority w:val="0"/>
    <w:pPr>
      <w:keepNext/>
      <w:keepLines/>
      <w:spacing w:beforeLines="0" w:beforeAutospacing="0" w:afterLines="0" w:afterAutospacing="0" w:line="360" w:lineRule="auto"/>
      <w:jc w:val="left"/>
      <w:outlineLvl w:val="3"/>
    </w:pPr>
    <w:rPr>
      <w:rFonts w:ascii="Arial" w:hAnsi="Arial" w:eastAsia="宋体" w:cs="Times New Roman"/>
      <w:b/>
      <w:sz w:val="28"/>
      <w:szCs w:val="22"/>
    </w:rPr>
  </w:style>
  <w:style w:type="paragraph" w:styleId="7">
    <w:name w:val="heading 5"/>
    <w:basedOn w:val="1"/>
    <w:next w:val="1"/>
    <w:semiHidden/>
    <w:unhideWhenUsed/>
    <w:qFormat/>
    <w:uiPriority w:val="0"/>
    <w:pPr>
      <w:keepNext/>
      <w:keepLines/>
      <w:spacing w:before="280" w:beforeLines="0" w:beforeAutospacing="0" w:after="290" w:afterLines="0" w:afterAutospacing="0" w:line="372" w:lineRule="auto"/>
      <w:outlineLvl w:val="4"/>
    </w:pPr>
    <w:rPr>
      <w:rFonts w:ascii="Times New Roman" w:hAnsi="Times New Roman" w:eastAsia="宋体" w:cs="Times New Roman"/>
      <w:b/>
      <w:sz w:val="24"/>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character" w:customStyle="1" w:styleId="10">
    <w:name w:val="标题 2 Char"/>
    <w:link w:val="4"/>
    <w:qFormat/>
    <w:uiPriority w:val="0"/>
    <w:rPr>
      <w:rFonts w:ascii="Arial" w:hAnsi="Arial" w:eastAsia="宋体" w:cs="Times New Roman"/>
      <w:b/>
      <w:sz w:val="44"/>
      <w:szCs w:val="22"/>
    </w:rPr>
  </w:style>
  <w:style w:type="character" w:customStyle="1" w:styleId="11">
    <w:name w:val="标题 3 Char"/>
    <w:link w:val="5"/>
    <w:qFormat/>
    <w:uiPriority w:val="0"/>
    <w:rPr>
      <w:rFonts w:ascii="Times New Roman" w:hAnsi="Times New Roman" w:eastAsia="宋体" w:cs="Times New Roman"/>
      <w:b/>
      <w:sz w:val="3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1273</Words>
  <Characters>1387</Characters>
  <Lines>0</Lines>
  <Paragraphs>0</Paragraphs>
  <TotalTime>0</TotalTime>
  <ScaleCrop>false</ScaleCrop>
  <LinksUpToDate>false</LinksUpToDate>
  <CharactersWithSpaces>1538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2025-09-25T04:10:00Z</dcterms:created>
  <dc:creator>原儿</dc:creator>
  <cp:lastModifiedBy>原儿</cp:lastModifiedBy>
  <dcterms:modified xsi:type="dcterms:W3CDTF">2025-09-25T04:12:45Z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A433646B4AC64A01B40021455AEDBEE5_11</vt:lpwstr>
  </property>
  <property fmtid="{D5CDD505-2E9C-101B-9397-08002B2CF9AE}" pid="4" name="KSOTemplateDocerSaveRecord">
    <vt:lpwstr>eyJoZGlkIjoiYjE0NWE1Nzc1MmM0YTM4NDE5MTI4MGM1YzM1OTUzNWQiLCJ1c2VySWQiOiIzMDA5NjAwNjYifQ==</vt:lpwstr>
  </property>
</Properties>
</file>