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0"/>
        <w:rPr>
          <w:rFonts w:hint="eastAsia" w:ascii="宋体" w:hAnsi="宋体" w:eastAsia="宋体" w:cs="宋体"/>
          <w:color w:val="auto"/>
          <w:sz w:val="44"/>
          <w:szCs w:val="44"/>
          <w:highlight w:val="none"/>
          <w:lang w:eastAsia="zh-CN"/>
        </w:rPr>
      </w:pPr>
      <w:bookmarkStart w:id="0" w:name="_Toc26978"/>
      <w:r>
        <w:rPr>
          <w:rFonts w:hint="eastAsia" w:ascii="宋体" w:hAnsi="宋体" w:eastAsia="宋体" w:cs="宋体"/>
          <w:b/>
          <w:bCs/>
          <w:color w:val="auto"/>
          <w:spacing w:val="-4"/>
          <w:sz w:val="44"/>
          <w:szCs w:val="44"/>
          <w:highlight w:val="none"/>
          <w:lang w:eastAsia="zh-CN"/>
        </w:rPr>
        <w:t>招标公告</w:t>
      </w:r>
      <w:bookmarkEnd w:id="0"/>
    </w:p>
    <w:p>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outlineLvl w:val="9"/>
        <w:rPr>
          <w:rFonts w:ascii="宋体" w:hAnsi="宋体" w:eastAsia="宋体" w:cs="宋体"/>
          <w:color w:val="auto"/>
          <w:sz w:val="28"/>
          <w:szCs w:val="28"/>
          <w:highlight w:val="none"/>
          <w:lang w:val="en-US" w:eastAsia="zh-CN"/>
        </w:rPr>
      </w:pPr>
      <w:r>
        <w:rPr>
          <w:rFonts w:hint="eastAsia" w:ascii="宋体" w:hAnsi="宋体" w:eastAsia="宋体" w:cs="宋体"/>
          <w:b/>
          <w:bCs/>
          <w:color w:val="auto"/>
          <w:spacing w:val="-4"/>
          <w:sz w:val="28"/>
          <w:szCs w:val="28"/>
          <w:highlight w:val="none"/>
          <w:lang w:eastAsia="zh-CN"/>
        </w:rPr>
        <w:t>中国有色集团中色十五冶二公司江西贵溪江铜宏源项目不锈钢钢材集中采购</w:t>
      </w:r>
      <w:r>
        <w:rPr>
          <w:rFonts w:hint="eastAsia" w:ascii="宋体" w:hAnsi="宋体" w:eastAsia="宋体" w:cs="宋体"/>
          <w:b/>
          <w:bCs/>
          <w:color w:val="auto"/>
          <w:spacing w:val="-4"/>
          <w:sz w:val="28"/>
          <w:szCs w:val="28"/>
          <w:highlight w:val="none"/>
          <w:lang w:val="en-US" w:eastAsia="zh-CN"/>
        </w:rPr>
        <w:t>招标公告</w:t>
      </w:r>
    </w:p>
    <w:p>
      <w:pPr>
        <w:keepNext w:val="0"/>
        <w:keepLines w:val="0"/>
        <w:pageBreakBefore w:val="0"/>
        <w:widowControl/>
        <w:kinsoku w:val="0"/>
        <w:wordWrap/>
        <w:overflowPunct/>
        <w:topLinePunct w:val="0"/>
        <w:autoSpaceDE w:val="0"/>
        <w:autoSpaceDN w:val="0"/>
        <w:bidi w:val="0"/>
        <w:adjustRightInd w:val="0"/>
        <w:snapToGrid w:val="0"/>
        <w:spacing w:line="360" w:lineRule="auto"/>
        <w:ind w:left="488"/>
        <w:textAlignment w:val="baseline"/>
        <w:outlineLvl w:val="1"/>
        <w:rPr>
          <w:rFonts w:hint="default" w:ascii="Times New Roman" w:hAnsi="Times New Roman" w:eastAsia="宋体" w:cs="Times New Roman"/>
          <w:color w:val="auto"/>
          <w:sz w:val="24"/>
          <w:szCs w:val="24"/>
          <w:highlight w:val="none"/>
          <w:lang w:eastAsia="zh-CN"/>
        </w:rPr>
      </w:pPr>
      <w:bookmarkStart w:id="1" w:name="bookmark125"/>
      <w:bookmarkEnd w:id="1"/>
      <w:bookmarkStart w:id="2" w:name="_Toc24443"/>
      <w:r>
        <w:rPr>
          <w:rFonts w:hint="default" w:ascii="Times New Roman" w:hAnsi="Times New Roman" w:eastAsia="宋体" w:cs="Times New Roman"/>
          <w:b/>
          <w:bCs/>
          <w:color w:val="auto"/>
          <w:spacing w:val="-4"/>
          <w:sz w:val="24"/>
          <w:szCs w:val="24"/>
          <w:highlight w:val="none"/>
          <w:lang w:eastAsia="zh-CN"/>
        </w:rPr>
        <w:t>1.招标条件</w:t>
      </w:r>
      <w:bookmarkEnd w:id="2"/>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本招标项目</w:t>
      </w:r>
      <w:r>
        <w:rPr>
          <w:rFonts w:hint="default" w:ascii="Times New Roman" w:hAnsi="Times New Roman" w:eastAsia="宋体" w:cs="Times New Roman"/>
          <w:color w:val="auto"/>
          <w:sz w:val="24"/>
          <w:szCs w:val="24"/>
          <w:highlight w:val="none"/>
          <w:u w:val="single"/>
          <w:lang w:eastAsia="zh-CN"/>
        </w:rPr>
        <w:t>中国有色集团中色十五冶二公司江西贵溪江铜宏源项目不锈钢钢材集中采购</w:t>
      </w:r>
      <w:r>
        <w:rPr>
          <w:rFonts w:hint="default" w:ascii="Times New Roman" w:hAnsi="Times New Roman" w:eastAsia="宋体" w:cs="Times New Roman"/>
          <w:color w:val="auto"/>
          <w:spacing w:val="-1"/>
          <w:sz w:val="24"/>
          <w:szCs w:val="24"/>
          <w:highlight w:val="none"/>
          <w:lang w:eastAsia="zh-CN"/>
        </w:rPr>
        <w:t>，招标人为</w:t>
      </w:r>
      <w:r>
        <w:rPr>
          <w:rFonts w:hint="default" w:ascii="Times New Roman" w:hAnsi="Times New Roman" w:eastAsia="宋体" w:cs="Times New Roman"/>
          <w:color w:val="auto"/>
          <w:spacing w:val="-1"/>
          <w:sz w:val="24"/>
          <w:szCs w:val="24"/>
          <w:highlight w:val="none"/>
          <w:u w:val="single"/>
          <w:lang w:eastAsia="zh-CN"/>
        </w:rPr>
        <w:t>中色国际贸易有限公司（中国有色矿业集团有限公司集中采购中心</w:t>
      </w:r>
      <w:r>
        <w:rPr>
          <w:rFonts w:hint="default" w:ascii="Times New Roman" w:hAnsi="Times New Roman" w:eastAsia="宋体" w:cs="Times New Roman"/>
          <w:color w:val="auto"/>
          <w:spacing w:val="7"/>
          <w:sz w:val="24"/>
          <w:szCs w:val="24"/>
          <w:highlight w:val="none"/>
          <w:u w:val="single"/>
          <w:lang w:eastAsia="zh-CN"/>
        </w:rPr>
        <w:t>），</w:t>
      </w:r>
      <w:r>
        <w:rPr>
          <w:rFonts w:hint="default" w:ascii="Times New Roman" w:hAnsi="Times New Roman" w:eastAsia="宋体" w:cs="Times New Roman"/>
          <w:color w:val="auto"/>
          <w:spacing w:val="-5"/>
          <w:sz w:val="24"/>
          <w:szCs w:val="24"/>
          <w:highlight w:val="none"/>
          <w:lang w:eastAsia="zh-CN"/>
        </w:rPr>
        <w:t>招标项目资金来自</w:t>
      </w:r>
      <w:r>
        <w:rPr>
          <w:rFonts w:hint="default" w:ascii="Times New Roman" w:hAnsi="Times New Roman" w:eastAsia="宋体" w:cs="Times New Roman"/>
          <w:color w:val="auto"/>
          <w:spacing w:val="-5"/>
          <w:sz w:val="24"/>
          <w:szCs w:val="24"/>
          <w:highlight w:val="none"/>
          <w:u w:val="single"/>
          <w:lang w:eastAsia="zh-CN"/>
        </w:rPr>
        <w:t>自筹资金</w:t>
      </w:r>
      <w:r>
        <w:rPr>
          <w:rFonts w:hint="default" w:ascii="Times New Roman" w:hAnsi="Times New Roman" w:eastAsia="宋体" w:cs="Times New Roman"/>
          <w:color w:val="auto"/>
          <w:spacing w:val="-5"/>
          <w:sz w:val="24"/>
          <w:szCs w:val="24"/>
          <w:highlight w:val="none"/>
          <w:lang w:eastAsia="zh-CN"/>
        </w:rPr>
        <w:t>，出资比例</w:t>
      </w:r>
      <w:r>
        <w:rPr>
          <w:rFonts w:hint="default" w:ascii="Times New Roman" w:hAnsi="Times New Roman" w:eastAsia="宋体" w:cs="Times New Roman"/>
          <w:color w:val="auto"/>
          <w:spacing w:val="-40"/>
          <w:sz w:val="24"/>
          <w:szCs w:val="24"/>
          <w:highlight w:val="none"/>
          <w:lang w:eastAsia="zh-CN"/>
        </w:rPr>
        <w:t xml:space="preserve"> </w:t>
      </w:r>
      <w:r>
        <w:rPr>
          <w:rFonts w:hint="default" w:ascii="Times New Roman" w:hAnsi="Times New Roman" w:eastAsia="宋体" w:cs="Times New Roman"/>
          <w:color w:val="auto"/>
          <w:spacing w:val="-5"/>
          <w:sz w:val="24"/>
          <w:szCs w:val="24"/>
          <w:highlight w:val="none"/>
          <w:u w:val="single"/>
          <w:lang w:eastAsia="zh-CN"/>
        </w:rPr>
        <w:t>100%</w:t>
      </w:r>
      <w:r>
        <w:rPr>
          <w:rFonts w:hint="default" w:ascii="Times New Roman" w:hAnsi="Times New Roman" w:eastAsia="宋体" w:cs="Times New Roman"/>
          <w:color w:val="auto"/>
          <w:spacing w:val="-5"/>
          <w:sz w:val="24"/>
          <w:szCs w:val="24"/>
          <w:highlight w:val="none"/>
          <w:lang w:eastAsia="zh-CN"/>
        </w:rPr>
        <w:t>。该</w:t>
      </w:r>
      <w:r>
        <w:rPr>
          <w:rFonts w:hint="default" w:ascii="Times New Roman" w:hAnsi="Times New Roman" w:eastAsia="宋体" w:cs="Times New Roman"/>
          <w:color w:val="auto"/>
          <w:spacing w:val="-6"/>
          <w:sz w:val="24"/>
          <w:szCs w:val="24"/>
          <w:highlight w:val="none"/>
          <w:lang w:eastAsia="zh-CN"/>
        </w:rPr>
        <w:t>项目已具备招标条件，现对</w:t>
      </w:r>
      <w:r>
        <w:rPr>
          <w:rFonts w:hint="default" w:ascii="Times New Roman" w:hAnsi="Times New Roman" w:eastAsia="宋体" w:cs="Times New Roman"/>
          <w:color w:val="auto"/>
          <w:sz w:val="24"/>
          <w:szCs w:val="24"/>
          <w:highlight w:val="none"/>
          <w:lang w:eastAsia="zh-CN"/>
        </w:rPr>
        <w:t xml:space="preserve"> </w:t>
      </w:r>
      <w:r>
        <w:rPr>
          <w:rFonts w:hint="default" w:ascii="Times New Roman" w:hAnsi="Times New Roman" w:eastAsia="宋体" w:cs="Times New Roman"/>
          <w:color w:val="auto"/>
          <w:sz w:val="24"/>
          <w:szCs w:val="24"/>
          <w:highlight w:val="none"/>
          <w:u w:val="single"/>
          <w:lang w:eastAsia="zh-CN"/>
        </w:rPr>
        <w:t>钢材</w:t>
      </w:r>
      <w:r>
        <w:rPr>
          <w:rFonts w:hint="default" w:ascii="Times New Roman" w:hAnsi="Times New Roman" w:eastAsia="宋体" w:cs="Times New Roman"/>
          <w:color w:val="auto"/>
          <w:sz w:val="24"/>
          <w:szCs w:val="24"/>
          <w:highlight w:val="none"/>
          <w:lang w:eastAsia="zh-CN"/>
        </w:rPr>
        <w:t>采购进行公开招标（招标编号：CNIT2025-129/JCCM-JN-ZB-25054</w:t>
      </w:r>
      <w:r>
        <w:rPr>
          <w:rFonts w:hint="default" w:ascii="Times New Roman" w:hAnsi="Times New Roman" w:eastAsia="宋体" w:cs="Times New Roman"/>
          <w:color w:val="auto"/>
          <w:spacing w:val="-1"/>
          <w:sz w:val="24"/>
          <w:szCs w:val="24"/>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488"/>
        <w:textAlignment w:val="baseline"/>
        <w:outlineLvl w:val="1"/>
        <w:rPr>
          <w:rFonts w:hint="default" w:ascii="Times New Roman" w:hAnsi="Times New Roman" w:eastAsia="宋体" w:cs="Times New Roman"/>
          <w:b/>
          <w:bCs/>
          <w:color w:val="auto"/>
          <w:spacing w:val="-4"/>
          <w:sz w:val="24"/>
          <w:szCs w:val="24"/>
          <w:highlight w:val="none"/>
          <w:lang w:eastAsia="zh-CN"/>
        </w:rPr>
      </w:pPr>
      <w:bookmarkStart w:id="3" w:name="bookmark128"/>
      <w:bookmarkEnd w:id="3"/>
      <w:bookmarkStart w:id="4" w:name="bookmark127"/>
      <w:bookmarkEnd w:id="4"/>
      <w:bookmarkStart w:id="5" w:name="_Toc4906"/>
      <w:r>
        <w:rPr>
          <w:rFonts w:hint="default" w:ascii="Times New Roman" w:hAnsi="Times New Roman" w:eastAsia="宋体" w:cs="Times New Roman"/>
          <w:b/>
          <w:bCs/>
          <w:color w:val="auto"/>
          <w:spacing w:val="-4"/>
          <w:sz w:val="24"/>
          <w:szCs w:val="24"/>
          <w:highlight w:val="none"/>
          <w:lang w:eastAsia="zh-CN"/>
        </w:rPr>
        <w:t>2.项目概况</w:t>
      </w:r>
      <w:bookmarkEnd w:id="5"/>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bookmarkStart w:id="6" w:name="OLE_LINK1"/>
      <w:r>
        <w:rPr>
          <w:rFonts w:hint="default" w:ascii="Times New Roman" w:hAnsi="Times New Roman" w:eastAsia="宋体" w:cs="Times New Roman"/>
          <w:color w:val="auto"/>
          <w:spacing w:val="-1"/>
          <w:sz w:val="24"/>
          <w:szCs w:val="24"/>
          <w:highlight w:val="none"/>
          <w:lang w:val="en-US" w:eastAsia="zh-CN"/>
        </w:rPr>
        <w:t>该项目</w:t>
      </w:r>
      <w:r>
        <w:rPr>
          <w:rFonts w:hint="default" w:ascii="Times New Roman" w:hAnsi="Times New Roman" w:eastAsia="宋体" w:cs="Times New Roman"/>
          <w:color w:val="auto"/>
          <w:sz w:val="24"/>
          <w:szCs w:val="24"/>
          <w:highlight w:val="none"/>
        </w:rPr>
        <w:t>工程名称</w:t>
      </w:r>
      <w:r>
        <w:rPr>
          <w:rFonts w:hint="default" w:ascii="Times New Roman" w:hAnsi="Times New Roman" w:eastAsia="宋体"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rPr>
        <w:t>江铜宏源铜业有限公司年产15万吨电解铜项目</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地址位于</w:t>
      </w:r>
      <w:r>
        <w:rPr>
          <w:rFonts w:hint="default" w:ascii="Times New Roman" w:hAnsi="Times New Roman" w:eastAsia="宋体" w:cs="Times New Roman"/>
          <w:color w:val="auto"/>
          <w:sz w:val="24"/>
          <w:szCs w:val="24"/>
          <w:highlight w:val="none"/>
        </w:rPr>
        <w:t>江</w:t>
      </w:r>
      <w:r>
        <w:rPr>
          <w:rFonts w:hint="default" w:ascii="Times New Roman" w:hAnsi="Times New Roman" w:eastAsia="宋体" w:cs="Times New Roman"/>
          <w:color w:val="auto"/>
          <w:spacing w:val="-1"/>
          <w:sz w:val="24"/>
          <w:szCs w:val="24"/>
          <w:highlight w:val="none"/>
          <w:lang w:val="en-US" w:eastAsia="zh-CN"/>
        </w:rPr>
        <w:t>西省鹰潭市贵溪经济开发区工业园片区，设计规模为年产15万吨阴极铜。</w:t>
      </w:r>
    </w:p>
    <w:bookmarkEnd w:id="6"/>
    <w:p>
      <w:pPr>
        <w:keepNext w:val="0"/>
        <w:keepLines w:val="0"/>
        <w:pageBreakBefore w:val="0"/>
        <w:widowControl/>
        <w:kinsoku w:val="0"/>
        <w:wordWrap/>
        <w:overflowPunct/>
        <w:topLinePunct w:val="0"/>
        <w:autoSpaceDE w:val="0"/>
        <w:autoSpaceDN w:val="0"/>
        <w:bidi w:val="0"/>
        <w:adjustRightInd w:val="0"/>
        <w:snapToGrid w:val="0"/>
        <w:spacing w:line="360" w:lineRule="auto"/>
        <w:ind w:left="488"/>
        <w:textAlignment w:val="baseline"/>
        <w:outlineLvl w:val="1"/>
        <w:rPr>
          <w:rFonts w:hint="default" w:ascii="Times New Roman" w:hAnsi="Times New Roman" w:eastAsia="宋体" w:cs="Times New Roman"/>
          <w:b/>
          <w:bCs/>
          <w:color w:val="auto"/>
          <w:spacing w:val="-4"/>
          <w:sz w:val="24"/>
          <w:szCs w:val="24"/>
          <w:highlight w:val="none"/>
          <w:lang w:eastAsia="zh-CN"/>
        </w:rPr>
      </w:pPr>
      <w:bookmarkStart w:id="7" w:name="bookmark130"/>
      <w:bookmarkEnd w:id="7"/>
      <w:bookmarkStart w:id="8" w:name="bookmark129"/>
      <w:bookmarkEnd w:id="8"/>
      <w:bookmarkStart w:id="9" w:name="_Toc19102"/>
      <w:r>
        <w:rPr>
          <w:rFonts w:hint="default" w:ascii="Times New Roman" w:hAnsi="Times New Roman" w:eastAsia="宋体" w:cs="Times New Roman"/>
          <w:b/>
          <w:bCs/>
          <w:color w:val="auto"/>
          <w:spacing w:val="-4"/>
          <w:sz w:val="24"/>
          <w:szCs w:val="24"/>
          <w:highlight w:val="none"/>
          <w:lang w:eastAsia="zh-CN"/>
        </w:rPr>
        <w:t>3.招标范围</w:t>
      </w:r>
      <w:bookmarkEnd w:id="9"/>
    </w:p>
    <w:p>
      <w:pPr>
        <w:spacing w:before="180" w:line="360" w:lineRule="auto"/>
        <w:ind w:firstLine="456" w:firstLineChars="200"/>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6"/>
          <w:sz w:val="24"/>
          <w:szCs w:val="24"/>
          <w:highlight w:val="none"/>
        </w:rPr>
        <w:t>3.1  供货范围：</w:t>
      </w:r>
    </w:p>
    <w:tbl>
      <w:tblPr>
        <w:tblStyle w:val="29"/>
        <w:tblW w:w="90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79"/>
        <w:gridCol w:w="1324"/>
        <w:gridCol w:w="1106"/>
        <w:gridCol w:w="907"/>
        <w:gridCol w:w="1240"/>
        <w:gridCol w:w="947"/>
        <w:gridCol w:w="1026"/>
        <w:gridCol w:w="1320"/>
        <w:gridCol w:w="5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序号</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物资名称</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规格型号</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材质</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执行标准</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数量(T)</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计量方式</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尺寸要求</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不锈钢槽钢</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 10# </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GB/T37430-2019 </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12.000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不锈钢槽钢</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12# </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GB/T37430-2019 </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18.360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不锈钢圆钢</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ø20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GB/T1220-2007 </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55.300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bookmarkStart w:id="10" w:name="OLE_LINK2" w:colFirst="4" w:colLast="4"/>
            <w:r>
              <w:rPr>
                <w:rFonts w:hint="default" w:ascii="Times New Roman" w:hAnsi="Times New Roman" w:eastAsia="宋体" w:cs="Times New Roman"/>
                <w:i w:val="0"/>
                <w:snapToGrid w:val="0"/>
                <w:color w:val="auto"/>
                <w:kern w:val="0"/>
                <w:sz w:val="21"/>
                <w:szCs w:val="21"/>
                <w:highlight w:val="none"/>
                <w:u w:val="none"/>
                <w:lang w:val="en-US" w:eastAsia="zh-CN" w:bidi="ar"/>
              </w:rPr>
              <w:t>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不锈钢角钢</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40*4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color w:val="auto"/>
                <w:highlight w:val="none"/>
                <w:u w:val="none"/>
                <w:lang w:eastAsia="zh-CN" w:bidi="ar"/>
              </w:rPr>
              <w:t>YB/T 5309-2023</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0.250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6米/支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bookmarkEnd w:id="1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不锈钢角钢</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50*5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color w:val="auto"/>
                <w:highlight w:val="none"/>
                <w:u w:val="none"/>
                <w:lang w:eastAsia="zh-CN" w:bidi="ar"/>
              </w:rPr>
              <w:t>YB/T 5309-2023</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8.140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6米/支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不锈钢扁钢</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50*5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color w:val="auto"/>
                <w:highlight w:val="none"/>
                <w:u w:val="none"/>
                <w:lang w:eastAsia="zh-CN" w:bidi="ar"/>
              </w:rPr>
              <w:t>GB/T4237-2015</w:t>
            </w: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 </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2.570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不锈钢钢板</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 3280-2015</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12.010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1500*6000*10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8</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不锈钢钢板</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 3280-2015</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1.900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2000*6000*10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不锈钢钢板</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20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 3280-2015</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1.900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2000*6000*20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10</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不锈钢钢板</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20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321</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 3280-2015</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0.820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理计</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1500*9000*20</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11</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不锈钢管</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D33.7*3.2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GB/T14976-2012</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0.700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过磅</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12</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不锈钢管</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D42.4*3.5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GB/T14976-2012</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0.260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过磅</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13</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不锈钢管</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D48.3*3.5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GB/T14976-2012</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4.220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过磅</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14</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不锈钢管</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D60.3*3.8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GB/T14976-2012</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0.660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过磅</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15</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不锈钢管</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D76.1*4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GB/T14976-2012</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0.720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过磅</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16</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不锈钢管</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D88.9*4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GB/T14976-2012</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0.260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过磅</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 w:hRule="atLeast"/>
        </w:trPr>
        <w:tc>
          <w:tcPr>
            <w:tcW w:w="6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17</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不锈钢管</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D114.3*4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304</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GB/T14976-2012</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 xml:space="preserve">0.870 </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过磅</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9米/支</w:t>
            </w: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 w:hRule="atLeast"/>
        </w:trPr>
        <w:tc>
          <w:tcPr>
            <w:tcW w:w="20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rPr>
            </w:pPr>
            <w:r>
              <w:rPr>
                <w:rFonts w:hint="default" w:ascii="Times New Roman" w:hAnsi="Times New Roman" w:eastAsia="宋体" w:cs="Times New Roman"/>
                <w:i w:val="0"/>
                <w:snapToGrid w:val="0"/>
                <w:color w:val="auto"/>
                <w:kern w:val="0"/>
                <w:sz w:val="21"/>
                <w:szCs w:val="21"/>
                <w:highlight w:val="none"/>
                <w:u w:val="none"/>
                <w:lang w:val="en-US" w:eastAsia="zh-CN" w:bidi="ar"/>
              </w:rPr>
              <w:t>合计</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color w:val="auto"/>
                <w:sz w:val="21"/>
                <w:szCs w:val="21"/>
                <w:highlight w:val="none"/>
                <w:u w:val="none"/>
                <w:lang w:val="en-US"/>
              </w:rPr>
            </w:pPr>
            <w:r>
              <w:rPr>
                <w:rFonts w:hint="default" w:ascii="Times New Roman" w:hAnsi="Times New Roman" w:eastAsia="宋体" w:cs="Times New Roman"/>
                <w:i w:val="0"/>
                <w:snapToGrid w:val="0"/>
                <w:color w:val="auto"/>
                <w:kern w:val="0"/>
                <w:sz w:val="21"/>
                <w:szCs w:val="21"/>
                <w:highlight w:val="none"/>
                <w:u w:val="none"/>
                <w:lang w:val="en-US" w:eastAsia="zh-CN" w:bidi="ar"/>
              </w:rPr>
              <w:t>120.940</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default" w:ascii="Times New Roman" w:hAnsi="Times New Roman" w:eastAsia="宋体" w:cs="Times New Roman"/>
                <w:i w:val="0"/>
                <w:color w:val="auto"/>
                <w:sz w:val="21"/>
                <w:szCs w:val="21"/>
                <w:highlight w:val="none"/>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default" w:ascii="Times New Roman" w:hAnsi="Times New Roman" w:eastAsia="宋体" w:cs="Times New Roman"/>
                <w:i w:val="0"/>
                <w:color w:val="auto"/>
                <w:sz w:val="21"/>
                <w:szCs w:val="21"/>
                <w:highlight w:val="none"/>
                <w:u w:val="none"/>
              </w:rPr>
            </w:pPr>
          </w:p>
        </w:tc>
      </w:tr>
    </w:tbl>
    <w:p>
      <w:pPr>
        <w:keepNext w:val="0"/>
        <w:keepLines w:val="0"/>
        <w:pageBreakBefore w:val="0"/>
        <w:widowControl/>
        <w:kinsoku w:val="0"/>
        <w:wordWrap/>
        <w:overflowPunct/>
        <w:topLinePunct w:val="0"/>
        <w:autoSpaceDE w:val="0"/>
        <w:autoSpaceDN w:val="0"/>
        <w:bidi w:val="0"/>
        <w:adjustRightInd w:val="0"/>
        <w:snapToGrid w:val="0"/>
        <w:spacing w:beforeLines="50" w:line="360" w:lineRule="auto"/>
        <w:ind w:left="0" w:firstLine="482"/>
        <w:textAlignment w:val="baseline"/>
        <w:outlineLvl w:val="9"/>
        <w:rPr>
          <w:rFonts w:hint="eastAsia" w:ascii="Times New Roman" w:hAnsi="Times New Roman" w:eastAsia="宋体" w:cs="Times New Roman"/>
          <w:color w:val="auto"/>
          <w:spacing w:val="-1"/>
          <w:sz w:val="24"/>
          <w:szCs w:val="24"/>
          <w:highlight w:val="none"/>
          <w:lang w:val="en-US" w:eastAsia="zh-CN"/>
        </w:rPr>
      </w:pPr>
      <w:r>
        <w:rPr>
          <w:rFonts w:hint="eastAsia" w:ascii="Times New Roman" w:hAnsi="Times New Roman" w:eastAsia="宋体" w:cs="Times New Roman"/>
          <w:color w:val="auto"/>
          <w:spacing w:val="-1"/>
          <w:sz w:val="24"/>
          <w:szCs w:val="24"/>
          <w:highlight w:val="none"/>
          <w:lang w:val="en-US" w:eastAsia="zh-CN"/>
        </w:rPr>
        <w:t>注：</w:t>
      </w:r>
    </w:p>
    <w:p>
      <w:pPr>
        <w:keepNext w:val="0"/>
        <w:keepLines w:val="0"/>
        <w:pageBreakBefore w:val="0"/>
        <w:widowControl/>
        <w:kinsoku w:val="0"/>
        <w:wordWrap/>
        <w:overflowPunct/>
        <w:topLinePunct w:val="0"/>
        <w:autoSpaceDE w:val="0"/>
        <w:autoSpaceDN w:val="0"/>
        <w:bidi w:val="0"/>
        <w:adjustRightInd w:val="0"/>
        <w:snapToGrid w:val="0"/>
        <w:spacing w:beforeLines="0"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1、数量为预估数量，单项实际结算量和预估量可能存在偏差，但偏差总量不超过招标总量的±10%，具体按订单据实结算。合同主要由十五冶二公司签订，货款结算由需求单位负责办理。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2、预计供货周期：</w:t>
      </w:r>
      <w:r>
        <w:rPr>
          <w:rFonts w:hint="eastAsia" w:ascii="Times New Roman" w:hAnsi="Times New Roman" w:eastAsia="宋体" w:cs="Times New Roman"/>
          <w:color w:val="auto"/>
          <w:spacing w:val="-1"/>
          <w:sz w:val="24"/>
          <w:szCs w:val="24"/>
          <w:highlight w:val="none"/>
          <w:lang w:val="en-US" w:eastAsia="zh-CN"/>
        </w:rPr>
        <w:t>2025年10月至2025年11月。</w:t>
      </w:r>
      <w:r>
        <w:rPr>
          <w:rFonts w:hint="default" w:ascii="Times New Roman" w:hAnsi="Times New Roman" w:eastAsia="宋体" w:cs="Times New Roman"/>
          <w:color w:val="auto"/>
          <w:spacing w:val="-1"/>
          <w:sz w:val="24"/>
          <w:szCs w:val="24"/>
          <w:highlight w:val="none"/>
          <w:lang w:val="en-US" w:eastAsia="zh-CN"/>
        </w:rPr>
        <w:t>合同签订后，按照需方要求一次性交货，具体交货时间由需求方提前通知中标单位。交货时间以需方下达订单为准，需方应为供方预留足够的备货时间。</w:t>
      </w:r>
    </w:p>
    <w:p>
      <w:pPr>
        <w:keepNext w:val="0"/>
        <w:keepLines w:val="0"/>
        <w:pageBreakBefore w:val="0"/>
        <w:widowControl/>
        <w:kinsoku w:val="0"/>
        <w:wordWrap/>
        <w:overflowPunct/>
        <w:topLinePunct w:val="0"/>
        <w:autoSpaceDE w:val="0"/>
        <w:autoSpaceDN w:val="0"/>
        <w:bidi w:val="0"/>
        <w:adjustRightInd w:val="0"/>
        <w:snapToGrid w:val="0"/>
        <w:spacing w:beforeLines="50"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3.2 交货地点</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江西省贵溪经济开发区工业园片区江西勇骏实业有限公司内。</w:t>
      </w:r>
    </w:p>
    <w:p>
      <w:pPr>
        <w:keepNext w:val="0"/>
        <w:keepLines w:val="0"/>
        <w:pageBreakBefore w:val="0"/>
        <w:widowControl/>
        <w:kinsoku w:val="0"/>
        <w:wordWrap/>
        <w:overflowPunct/>
        <w:topLinePunct w:val="0"/>
        <w:autoSpaceDE w:val="0"/>
        <w:autoSpaceDN w:val="0"/>
        <w:bidi w:val="0"/>
        <w:adjustRightInd w:val="0"/>
        <w:snapToGrid w:val="0"/>
        <w:spacing w:line="360" w:lineRule="auto"/>
        <w:ind w:left="488"/>
        <w:textAlignment w:val="baseline"/>
        <w:outlineLvl w:val="1"/>
        <w:rPr>
          <w:rFonts w:hint="default" w:ascii="Times New Roman" w:hAnsi="Times New Roman" w:eastAsia="宋体" w:cs="Times New Roman"/>
          <w:b/>
          <w:bCs/>
          <w:color w:val="auto"/>
          <w:spacing w:val="-4"/>
          <w:sz w:val="24"/>
          <w:szCs w:val="24"/>
          <w:highlight w:val="none"/>
          <w:lang w:eastAsia="zh-CN"/>
        </w:rPr>
      </w:pPr>
      <w:bookmarkStart w:id="11" w:name="bookmark132"/>
      <w:bookmarkEnd w:id="11"/>
      <w:bookmarkStart w:id="12" w:name="bookmark131"/>
      <w:bookmarkEnd w:id="12"/>
      <w:bookmarkStart w:id="13" w:name="_Toc12143"/>
      <w:r>
        <w:rPr>
          <w:rFonts w:hint="default" w:ascii="Times New Roman" w:hAnsi="Times New Roman" w:eastAsia="宋体" w:cs="Times New Roman"/>
          <w:b/>
          <w:bCs/>
          <w:color w:val="auto"/>
          <w:spacing w:val="-4"/>
          <w:sz w:val="24"/>
          <w:szCs w:val="24"/>
          <w:highlight w:val="none"/>
          <w:lang w:eastAsia="zh-CN"/>
        </w:rPr>
        <w:t>★4.投标人资格要求</w:t>
      </w:r>
      <w:bookmarkEnd w:id="13"/>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4.1  资格要求：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1）资质要求：有效的营业执照、组织机构代码证、税务登记证（如果三证合一或五证合一只需要提供营业执照）或其他证明材料，投标人必须是具有独立承担民事责任能力的在中华人民共和国境内注册的法人或其他组织。</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2）财务要求：资金财务状况良好，具有履行合同的能力；没有处于被责令停业，投标资格被取消，财产被接管、冻结，破产状态；须提供2022年~2024年三年财务报表，包括资产负债表、利润表、现金流量表（如有）；投标人应保证财务报表真实有效，如存在弄虚造假问题，招标人保留追索的权利；投标人的成立年限少于上述年份的，须提供成立以来的财务状况表。</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（3）业绩要求：须提供 2022年1月1日至投标截止日期间（以合同签订时间 为准），至少一份招标同类标的物的销售合同扫描件（含合同首尾页、盖章页、供货范围所在页、并必须显示合同标的及合同金额和签订时间等有关内容）或结算发票扫描件（如投标人只提供结算发票扫描件，则时间以发票时间为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（4）信誉要求：须提供商业信誉承诺书（格式请见第七章投标文件格式第七项 资格审查资料），未被“信用中国”网站（</w:t>
      </w:r>
      <w:r>
        <w:rPr>
          <w:rFonts w:hint="default" w:ascii="Times New Roman" w:hAnsi="Times New Roman" w:eastAsia="宋体" w:cs="Times New Roman"/>
          <w:color w:val="auto"/>
          <w:spacing w:val="-1"/>
          <w:sz w:val="24"/>
          <w:szCs w:val="24"/>
          <w:highlight w:val="none"/>
          <w:lang w:val="en-US" w:eastAsia="zh-CN"/>
        </w:rPr>
        <w:fldChar w:fldCharType="begin"/>
      </w:r>
      <w:r>
        <w:rPr>
          <w:rFonts w:hint="default" w:ascii="Times New Roman" w:hAnsi="Times New Roman" w:eastAsia="宋体" w:cs="Times New Roman"/>
          <w:color w:val="auto"/>
          <w:spacing w:val="-1"/>
          <w:sz w:val="24"/>
          <w:szCs w:val="24"/>
          <w:highlight w:val="none"/>
          <w:lang w:val="en-US" w:eastAsia="zh-CN"/>
        </w:rPr>
        <w:instrText xml:space="preserve"> HYPERLINK "http://www.creditchina.gov.cn" </w:instrText>
      </w:r>
      <w:r>
        <w:rPr>
          <w:rFonts w:hint="default" w:ascii="Times New Roman" w:hAnsi="Times New Roman" w:eastAsia="宋体" w:cs="Times New Roman"/>
          <w:color w:val="auto"/>
          <w:spacing w:val="-1"/>
          <w:sz w:val="24"/>
          <w:szCs w:val="24"/>
          <w:highlight w:val="none"/>
          <w:lang w:val="en-US" w:eastAsia="zh-CN"/>
        </w:rPr>
        <w:fldChar w:fldCharType="separate"/>
      </w:r>
      <w:r>
        <w:rPr>
          <w:rFonts w:hint="default" w:ascii="Times New Roman" w:hAnsi="Times New Roman" w:eastAsia="宋体" w:cs="Times New Roman"/>
          <w:color w:val="auto"/>
          <w:spacing w:val="-1"/>
          <w:sz w:val="24"/>
          <w:szCs w:val="24"/>
          <w:highlight w:val="none"/>
          <w:lang w:val="en-US" w:eastAsia="zh-CN"/>
        </w:rPr>
        <w:t>http://www.creditchina.gov.cn</w:t>
      </w:r>
      <w:r>
        <w:rPr>
          <w:rFonts w:hint="default" w:ascii="Times New Roman" w:hAnsi="Times New Roman" w:eastAsia="宋体" w:cs="Times New Roman"/>
          <w:color w:val="auto"/>
          <w:spacing w:val="-1"/>
          <w:sz w:val="24"/>
          <w:szCs w:val="24"/>
          <w:highlight w:val="none"/>
          <w:lang w:val="en-US" w:eastAsia="zh-CN"/>
        </w:rPr>
        <w:fldChar w:fldCharType="end"/>
      </w:r>
      <w:r>
        <w:rPr>
          <w:rFonts w:hint="default" w:ascii="Times New Roman" w:hAnsi="Times New Roman" w:eastAsia="宋体" w:cs="Times New Roman"/>
          <w:color w:val="auto"/>
          <w:spacing w:val="-1"/>
          <w:sz w:val="24"/>
          <w:szCs w:val="24"/>
          <w:highlight w:val="none"/>
          <w:lang w:val="en-US" w:eastAsia="zh-CN"/>
        </w:rPr>
        <w:t>）列入失信被执行人、重大税收违法失信主体、未被工商行政管理机关在全国企业信用信息公示系统（</w:t>
      </w:r>
      <w:r>
        <w:rPr>
          <w:rFonts w:hint="default" w:ascii="Times New Roman" w:hAnsi="Times New Roman" w:eastAsia="宋体" w:cs="Times New Roman"/>
          <w:color w:val="auto"/>
          <w:spacing w:val="-1"/>
          <w:sz w:val="24"/>
          <w:szCs w:val="24"/>
          <w:highlight w:val="none"/>
          <w:lang w:val="en-US" w:eastAsia="zh-CN"/>
        </w:rPr>
        <w:fldChar w:fldCharType="begin"/>
      </w:r>
      <w:r>
        <w:rPr>
          <w:rFonts w:hint="default" w:ascii="Times New Roman" w:hAnsi="Times New Roman" w:eastAsia="宋体" w:cs="Times New Roman"/>
          <w:color w:val="auto"/>
          <w:spacing w:val="-1"/>
          <w:sz w:val="24"/>
          <w:szCs w:val="24"/>
          <w:highlight w:val="none"/>
          <w:lang w:val="en-US" w:eastAsia="zh-CN"/>
        </w:rPr>
        <w:instrText xml:space="preserve"> HYPERLINK "http://www.gsxt.gov.cn" </w:instrText>
      </w:r>
      <w:r>
        <w:rPr>
          <w:rFonts w:hint="default" w:ascii="Times New Roman" w:hAnsi="Times New Roman" w:eastAsia="宋体" w:cs="Times New Roman"/>
          <w:color w:val="auto"/>
          <w:spacing w:val="-1"/>
          <w:sz w:val="24"/>
          <w:szCs w:val="24"/>
          <w:highlight w:val="none"/>
          <w:lang w:val="en-US" w:eastAsia="zh-CN"/>
        </w:rPr>
        <w:fldChar w:fldCharType="separate"/>
      </w:r>
      <w:r>
        <w:rPr>
          <w:rFonts w:hint="default" w:ascii="Times New Roman" w:hAnsi="Times New Roman" w:eastAsia="宋体" w:cs="Times New Roman"/>
          <w:color w:val="auto"/>
          <w:spacing w:val="-1"/>
          <w:sz w:val="24"/>
          <w:szCs w:val="24"/>
          <w:highlight w:val="none"/>
          <w:lang w:val="en-US" w:eastAsia="zh-CN"/>
        </w:rPr>
        <w:t>http://www.gsxt.gov.cn</w:t>
      </w:r>
      <w:r>
        <w:rPr>
          <w:rFonts w:hint="default" w:ascii="Times New Roman" w:hAnsi="Times New Roman" w:eastAsia="宋体" w:cs="Times New Roman"/>
          <w:color w:val="auto"/>
          <w:spacing w:val="-1"/>
          <w:sz w:val="24"/>
          <w:szCs w:val="24"/>
          <w:highlight w:val="none"/>
          <w:lang w:val="en-US" w:eastAsia="zh-CN"/>
        </w:rPr>
        <w:fldChar w:fldCharType="end"/>
      </w:r>
      <w:r>
        <w:rPr>
          <w:rFonts w:hint="default" w:ascii="Times New Roman" w:hAnsi="Times New Roman" w:eastAsia="宋体" w:cs="Times New Roman"/>
          <w:color w:val="auto"/>
          <w:spacing w:val="-1"/>
          <w:sz w:val="24"/>
          <w:szCs w:val="24"/>
          <w:highlight w:val="none"/>
          <w:lang w:val="en-US" w:eastAsia="zh-CN"/>
        </w:rPr>
        <w:t>）中列入严重违法失信企业名单。</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（5）其他要求：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a.投标人需提供供货承诺函，应保证承诺函真实有效，如存在弄虚造假问题，招标人保留追索的权利。</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b.投标人在制造商授权下参与本招标项目的为代理商，应提供制造商授权书（格式见第七章投标文件格式第七项资格审查资料），持有其他格式的制造商授权文件的投标人，不视为代理商。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投标人为代理商的，将对其授权的制造商的资质及业绩视为投标代理商的资质及业绩。</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c.具有有效的国家相关法律法规规定的相关许可证（包括但不限于工业产品生产许可证、安全生产许可证、特种材料生产许可证、制造、维修计量器具许可证等）。相关产品具有有效的国家规定的强制认证证书（包括但不限于 3C 认证等证书）。如标的物无国家法律法规规定的相关许可、无国家强制认证证书的，无需提供相关许可证、证书。</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（6）如招标文件中其他章节内容与本部分内容有冲突，应以本部分内容为准。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4.2  本次招标不接受联合体投标。</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4.3  不满足招标文件中加注★的条款，或已注明为实质性要求的条款，评标委员会有权否决其投标。</w:t>
      </w:r>
    </w:p>
    <w:p>
      <w:pPr>
        <w:keepNext w:val="0"/>
        <w:keepLines w:val="0"/>
        <w:pageBreakBefore w:val="0"/>
        <w:widowControl/>
        <w:kinsoku w:val="0"/>
        <w:wordWrap/>
        <w:overflowPunct/>
        <w:topLinePunct w:val="0"/>
        <w:autoSpaceDE w:val="0"/>
        <w:autoSpaceDN w:val="0"/>
        <w:bidi w:val="0"/>
        <w:adjustRightInd w:val="0"/>
        <w:snapToGrid w:val="0"/>
        <w:spacing w:line="360" w:lineRule="auto"/>
        <w:ind w:left="488"/>
        <w:textAlignment w:val="baseline"/>
        <w:outlineLvl w:val="1"/>
        <w:rPr>
          <w:rFonts w:hint="default" w:ascii="Times New Roman" w:hAnsi="Times New Roman" w:eastAsia="宋体" w:cs="Times New Roman"/>
          <w:b/>
          <w:bCs/>
          <w:color w:val="auto"/>
          <w:spacing w:val="-4"/>
          <w:sz w:val="24"/>
          <w:szCs w:val="24"/>
          <w:highlight w:val="none"/>
          <w:lang w:eastAsia="zh-CN"/>
        </w:rPr>
      </w:pPr>
      <w:bookmarkStart w:id="14" w:name="bookmark134"/>
      <w:bookmarkEnd w:id="14"/>
      <w:bookmarkStart w:id="15" w:name="bookmark133"/>
      <w:bookmarkEnd w:id="15"/>
      <w:bookmarkStart w:id="16" w:name="_Toc5988"/>
      <w:r>
        <w:rPr>
          <w:rFonts w:hint="default" w:ascii="Times New Roman" w:hAnsi="Times New Roman" w:eastAsia="宋体" w:cs="Times New Roman"/>
          <w:b/>
          <w:bCs/>
          <w:color w:val="auto"/>
          <w:spacing w:val="-4"/>
          <w:sz w:val="24"/>
          <w:szCs w:val="24"/>
          <w:highlight w:val="none"/>
          <w:lang w:eastAsia="zh-CN"/>
        </w:rPr>
        <w:t>5.招标文件的获取</w:t>
      </w:r>
      <w:bookmarkEnd w:id="16"/>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5.1 凡有意参加投标者，请于2025年</w:t>
      </w:r>
      <w:r>
        <w:rPr>
          <w:rFonts w:hint="eastAsia" w:ascii="Times New Roman" w:hAnsi="Times New Roman" w:eastAsia="宋体" w:cs="Times New Roman"/>
          <w:color w:val="auto"/>
          <w:spacing w:val="-1"/>
          <w:sz w:val="24"/>
          <w:szCs w:val="24"/>
          <w:highlight w:val="none"/>
          <w:lang w:val="en-US" w:eastAsia="zh-CN"/>
        </w:rPr>
        <w:t>10</w:t>
      </w:r>
      <w:r>
        <w:rPr>
          <w:rFonts w:hint="default" w:ascii="Times New Roman" w:hAnsi="Times New Roman" w:eastAsia="宋体" w:cs="Times New Roman"/>
          <w:color w:val="auto"/>
          <w:spacing w:val="-1"/>
          <w:sz w:val="24"/>
          <w:szCs w:val="24"/>
          <w:highlight w:val="none"/>
          <w:lang w:val="en-US" w:eastAsia="zh-CN"/>
        </w:rPr>
        <w:t>月</w:t>
      </w:r>
      <w:r>
        <w:rPr>
          <w:rFonts w:hint="eastAsia" w:ascii="Times New Roman" w:hAnsi="Times New Roman" w:eastAsia="宋体" w:cs="Times New Roman"/>
          <w:color w:val="auto"/>
          <w:spacing w:val="-1"/>
          <w:sz w:val="24"/>
          <w:szCs w:val="24"/>
          <w:highlight w:val="none"/>
          <w:lang w:val="en-US" w:eastAsia="zh-CN"/>
        </w:rPr>
        <w:t>11</w:t>
      </w:r>
      <w:r>
        <w:rPr>
          <w:rFonts w:hint="default" w:ascii="Times New Roman" w:hAnsi="Times New Roman" w:eastAsia="宋体" w:cs="Times New Roman"/>
          <w:color w:val="auto"/>
          <w:spacing w:val="-1"/>
          <w:sz w:val="24"/>
          <w:szCs w:val="24"/>
          <w:highlight w:val="none"/>
          <w:lang w:val="en-US" w:eastAsia="zh-CN"/>
        </w:rPr>
        <w:t>日至2025年</w:t>
      </w:r>
      <w:r>
        <w:rPr>
          <w:rFonts w:hint="eastAsia" w:ascii="Times New Roman" w:hAnsi="Times New Roman" w:eastAsia="宋体" w:cs="Times New Roman"/>
          <w:color w:val="auto"/>
          <w:spacing w:val="-1"/>
          <w:sz w:val="24"/>
          <w:szCs w:val="24"/>
          <w:highlight w:val="none"/>
          <w:lang w:val="en-US" w:eastAsia="zh-CN"/>
        </w:rPr>
        <w:t>10</w:t>
      </w:r>
      <w:r>
        <w:rPr>
          <w:rFonts w:hint="default" w:ascii="Times New Roman" w:hAnsi="Times New Roman" w:eastAsia="宋体" w:cs="Times New Roman"/>
          <w:color w:val="auto"/>
          <w:spacing w:val="-1"/>
          <w:sz w:val="24"/>
          <w:szCs w:val="24"/>
          <w:highlight w:val="none"/>
          <w:lang w:val="en-US" w:eastAsia="zh-CN"/>
        </w:rPr>
        <w:t>月</w:t>
      </w:r>
      <w:r>
        <w:rPr>
          <w:rFonts w:hint="eastAsia" w:ascii="Times New Roman" w:hAnsi="Times New Roman" w:eastAsia="宋体" w:cs="Times New Roman"/>
          <w:color w:val="auto"/>
          <w:spacing w:val="-1"/>
          <w:sz w:val="24"/>
          <w:szCs w:val="24"/>
          <w:highlight w:val="none"/>
          <w:lang w:val="en-US" w:eastAsia="zh-CN"/>
        </w:rPr>
        <w:t>22</w:t>
      </w:r>
      <w:r>
        <w:rPr>
          <w:rFonts w:hint="default" w:ascii="Times New Roman" w:hAnsi="Times New Roman" w:eastAsia="宋体" w:cs="Times New Roman"/>
          <w:color w:val="auto"/>
          <w:spacing w:val="-1"/>
          <w:sz w:val="24"/>
          <w:szCs w:val="24"/>
          <w:highlight w:val="none"/>
          <w:lang w:val="en-US" w:eastAsia="zh-CN"/>
        </w:rPr>
        <w:t>日</w:t>
      </w:r>
      <w:r>
        <w:rPr>
          <w:rFonts w:hint="eastAsia" w:ascii="Times New Roman" w:hAnsi="Times New Roman" w:eastAsia="宋体" w:cs="Times New Roman"/>
          <w:color w:val="auto"/>
          <w:spacing w:val="-1"/>
          <w:sz w:val="24"/>
          <w:szCs w:val="24"/>
          <w:highlight w:val="none"/>
          <w:lang w:val="en-US" w:eastAsia="zh-CN"/>
        </w:rPr>
        <w:t>9</w:t>
      </w:r>
      <w:r>
        <w:rPr>
          <w:rFonts w:hint="default" w:ascii="Times New Roman" w:hAnsi="Times New Roman" w:eastAsia="宋体" w:cs="Times New Roman"/>
          <w:color w:val="auto"/>
          <w:spacing w:val="-1"/>
          <w:sz w:val="24"/>
          <w:szCs w:val="24"/>
          <w:highlight w:val="none"/>
          <w:lang w:val="en-US" w:eastAsia="zh-CN"/>
        </w:rPr>
        <w:t>时</w:t>
      </w:r>
      <w:r>
        <w:rPr>
          <w:rFonts w:hint="eastAsia" w:ascii="Times New Roman" w:hAnsi="Times New Roman" w:eastAsia="宋体" w:cs="Times New Roman"/>
          <w:color w:val="auto"/>
          <w:spacing w:val="-1"/>
          <w:sz w:val="24"/>
          <w:szCs w:val="24"/>
          <w:highlight w:val="none"/>
          <w:lang w:val="en-US" w:eastAsia="zh-CN"/>
        </w:rPr>
        <w:t>00</w:t>
      </w:r>
      <w:r>
        <w:rPr>
          <w:rFonts w:hint="default" w:ascii="Times New Roman" w:hAnsi="Times New Roman" w:eastAsia="宋体" w:cs="Times New Roman"/>
          <w:color w:val="auto"/>
          <w:spacing w:val="-1"/>
          <w:sz w:val="24"/>
          <w:szCs w:val="24"/>
          <w:highlight w:val="none"/>
          <w:lang w:val="en-US" w:eastAsia="zh-CN"/>
        </w:rPr>
        <w:t>分(北京时间，下同)，登录中国有色集团采购招标电子商务平台</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w:t>
      </w:r>
      <w:r>
        <w:rPr>
          <w:rFonts w:hint="default" w:ascii="Times New Roman" w:hAnsi="Times New Roman" w:eastAsia="宋体" w:cs="Times New Roman"/>
          <w:color w:val="auto"/>
          <w:spacing w:val="-1"/>
          <w:sz w:val="24"/>
          <w:szCs w:val="24"/>
          <w:highlight w:val="none"/>
          <w:lang w:val="en-US" w:eastAsia="zh-CN"/>
        </w:rPr>
        <w:fldChar w:fldCharType="begin"/>
      </w:r>
      <w:r>
        <w:rPr>
          <w:rFonts w:hint="default" w:ascii="Times New Roman" w:hAnsi="Times New Roman" w:eastAsia="宋体" w:cs="Times New Roman"/>
          <w:color w:val="auto"/>
          <w:spacing w:val="-1"/>
          <w:sz w:val="24"/>
          <w:szCs w:val="24"/>
          <w:highlight w:val="none"/>
          <w:lang w:val="en-US" w:eastAsia="zh-CN"/>
        </w:rPr>
        <w:instrText xml:space="preserve"> HYPERLINK "http://ecp.cnmc.com.cn/" </w:instrText>
      </w:r>
      <w:r>
        <w:rPr>
          <w:rFonts w:hint="default" w:ascii="Times New Roman" w:hAnsi="Times New Roman" w:eastAsia="宋体" w:cs="Times New Roman"/>
          <w:color w:val="auto"/>
          <w:spacing w:val="-1"/>
          <w:sz w:val="24"/>
          <w:szCs w:val="24"/>
          <w:highlight w:val="none"/>
          <w:lang w:val="en-US" w:eastAsia="zh-CN"/>
        </w:rPr>
        <w:fldChar w:fldCharType="separate"/>
      </w:r>
      <w:r>
        <w:rPr>
          <w:rFonts w:hint="default" w:ascii="Times New Roman" w:hAnsi="Times New Roman" w:eastAsia="宋体" w:cs="Times New Roman"/>
          <w:color w:val="auto"/>
          <w:spacing w:val="-1"/>
          <w:sz w:val="24"/>
          <w:szCs w:val="24"/>
          <w:highlight w:val="none"/>
          <w:lang w:val="en-US" w:eastAsia="zh-CN"/>
        </w:rPr>
        <w:t>http://ecp.cnmc.com.cn/</w:t>
      </w:r>
      <w:r>
        <w:rPr>
          <w:rFonts w:hint="default" w:ascii="Times New Roman" w:hAnsi="Times New Roman" w:eastAsia="宋体" w:cs="Times New Roman"/>
          <w:color w:val="auto"/>
          <w:spacing w:val="-1"/>
          <w:sz w:val="24"/>
          <w:szCs w:val="24"/>
          <w:highlight w:val="none"/>
          <w:lang w:val="en-US" w:eastAsia="zh-CN"/>
        </w:rPr>
        <w:fldChar w:fldCharType="end"/>
      </w:r>
      <w:r>
        <w:rPr>
          <w:rFonts w:hint="default" w:ascii="Times New Roman" w:hAnsi="Times New Roman" w:eastAsia="宋体" w:cs="Times New Roman"/>
          <w:color w:val="auto"/>
          <w:spacing w:val="-1"/>
          <w:sz w:val="24"/>
          <w:szCs w:val="24"/>
          <w:highlight w:val="none"/>
          <w:lang w:val="en-US" w:eastAsia="zh-CN"/>
        </w:rPr>
        <w:t>）（以下简称平台）下载电子招标文件。（网站首页下载中心有供应商使用手册，请自行下载学习使用平台）</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5.2  招标文件不收取费用。</w:t>
      </w:r>
    </w:p>
    <w:p>
      <w:pPr>
        <w:spacing w:before="64" w:line="360" w:lineRule="auto"/>
        <w:ind w:right="146" w:firstLine="482"/>
        <w:jc w:val="both"/>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highlight w:val="none"/>
          <w:lang w:eastAsia="zh-CN"/>
        </w:rPr>
        <w:t>本项目的保证金、中标服务费均汇入以下账号。请投标人在汇款时务必注明所投标项目的招标编号，否则，因款项用途不明导致投标无效等后果由投标人自行承担：</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公司全称：中色国际贸易有限公司</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开户行：交通银行股份有限公司武汉武昌支行</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联行号：3015 2100 8000</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银行账号：0012 0110 1030 026</w:t>
      </w:r>
    </w:p>
    <w:p>
      <w:pPr>
        <w:keepNext w:val="0"/>
        <w:keepLines w:val="0"/>
        <w:pageBreakBefore w:val="0"/>
        <w:widowControl/>
        <w:kinsoku w:val="0"/>
        <w:wordWrap/>
        <w:overflowPunct/>
        <w:topLinePunct w:val="0"/>
        <w:autoSpaceDE w:val="0"/>
        <w:autoSpaceDN w:val="0"/>
        <w:bidi w:val="0"/>
        <w:adjustRightInd w:val="0"/>
        <w:snapToGrid w:val="0"/>
        <w:spacing w:line="360" w:lineRule="auto"/>
        <w:ind w:left="488"/>
        <w:textAlignment w:val="baseline"/>
        <w:outlineLvl w:val="1"/>
        <w:rPr>
          <w:rFonts w:hint="default" w:ascii="Times New Roman" w:hAnsi="Times New Roman" w:eastAsia="宋体" w:cs="Times New Roman"/>
          <w:b/>
          <w:bCs/>
          <w:color w:val="auto"/>
          <w:spacing w:val="-4"/>
          <w:sz w:val="24"/>
          <w:szCs w:val="24"/>
          <w:highlight w:val="none"/>
          <w:lang w:eastAsia="zh-CN"/>
        </w:rPr>
      </w:pPr>
      <w:bookmarkStart w:id="17" w:name="bookmark135"/>
      <w:bookmarkEnd w:id="17"/>
      <w:bookmarkStart w:id="18" w:name="bookmark136"/>
      <w:bookmarkEnd w:id="18"/>
      <w:bookmarkStart w:id="19" w:name="_Toc13435"/>
      <w:r>
        <w:rPr>
          <w:rFonts w:hint="default" w:ascii="Times New Roman" w:hAnsi="Times New Roman" w:eastAsia="宋体" w:cs="Times New Roman"/>
          <w:b/>
          <w:bCs/>
          <w:color w:val="auto"/>
          <w:spacing w:val="-4"/>
          <w:sz w:val="24"/>
          <w:szCs w:val="24"/>
          <w:highlight w:val="none"/>
          <w:lang w:eastAsia="zh-CN"/>
        </w:rPr>
        <w:t>6.投标文件的递交</w:t>
      </w:r>
      <w:bookmarkEnd w:id="19"/>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6.1 投标文件递交的截止时间（投标截止时间，下同）为2025年</w:t>
      </w:r>
      <w:r>
        <w:rPr>
          <w:rFonts w:hint="eastAsia" w:ascii="Times New Roman" w:hAnsi="Times New Roman" w:eastAsia="宋体" w:cs="Times New Roman"/>
          <w:color w:val="auto"/>
          <w:spacing w:val="-1"/>
          <w:sz w:val="24"/>
          <w:szCs w:val="24"/>
          <w:highlight w:val="none"/>
          <w:lang w:val="en-US" w:eastAsia="zh-CN"/>
        </w:rPr>
        <w:t>10</w:t>
      </w:r>
      <w:r>
        <w:rPr>
          <w:rFonts w:hint="default" w:ascii="Times New Roman" w:hAnsi="Times New Roman" w:eastAsia="宋体" w:cs="Times New Roman"/>
          <w:color w:val="auto"/>
          <w:spacing w:val="-1"/>
          <w:sz w:val="24"/>
          <w:szCs w:val="24"/>
          <w:highlight w:val="none"/>
          <w:lang w:val="en-US" w:eastAsia="zh-CN"/>
        </w:rPr>
        <w:t>月</w:t>
      </w:r>
      <w:r>
        <w:rPr>
          <w:rFonts w:hint="eastAsia" w:ascii="Times New Roman" w:hAnsi="Times New Roman" w:eastAsia="宋体" w:cs="Times New Roman"/>
          <w:color w:val="auto"/>
          <w:spacing w:val="-1"/>
          <w:sz w:val="24"/>
          <w:szCs w:val="24"/>
          <w:highlight w:val="none"/>
          <w:lang w:val="en-US" w:eastAsia="zh-CN"/>
        </w:rPr>
        <w:t>22</w:t>
      </w:r>
      <w:r>
        <w:rPr>
          <w:rFonts w:hint="default" w:ascii="Times New Roman" w:hAnsi="Times New Roman" w:eastAsia="宋体" w:cs="Times New Roman"/>
          <w:color w:val="auto"/>
          <w:spacing w:val="-1"/>
          <w:sz w:val="24"/>
          <w:szCs w:val="24"/>
          <w:highlight w:val="none"/>
          <w:lang w:val="en-US" w:eastAsia="zh-CN"/>
        </w:rPr>
        <w:t>日</w:t>
      </w:r>
      <w:r>
        <w:rPr>
          <w:rFonts w:hint="eastAsia" w:ascii="Times New Roman" w:hAnsi="Times New Roman" w:eastAsia="宋体" w:cs="Times New Roman"/>
          <w:color w:val="auto"/>
          <w:spacing w:val="-1"/>
          <w:sz w:val="24"/>
          <w:szCs w:val="24"/>
          <w:highlight w:val="none"/>
          <w:lang w:val="en-US" w:eastAsia="zh-CN"/>
        </w:rPr>
        <w:t>9</w:t>
      </w:r>
      <w:r>
        <w:rPr>
          <w:rFonts w:hint="default" w:ascii="Times New Roman" w:hAnsi="Times New Roman" w:eastAsia="宋体" w:cs="Times New Roman"/>
          <w:color w:val="auto"/>
          <w:spacing w:val="-1"/>
          <w:sz w:val="24"/>
          <w:szCs w:val="24"/>
          <w:highlight w:val="none"/>
          <w:lang w:val="en-US" w:eastAsia="zh-CN"/>
        </w:rPr>
        <w:t>时</w:t>
      </w:r>
      <w:r>
        <w:rPr>
          <w:rFonts w:hint="eastAsia" w:ascii="Times New Roman" w:hAnsi="Times New Roman" w:eastAsia="宋体" w:cs="Times New Roman"/>
          <w:color w:val="auto"/>
          <w:spacing w:val="-1"/>
          <w:sz w:val="24"/>
          <w:szCs w:val="24"/>
          <w:highlight w:val="none"/>
          <w:lang w:val="en-US" w:eastAsia="zh-CN"/>
        </w:rPr>
        <w:t>30</w:t>
      </w:r>
      <w:r>
        <w:rPr>
          <w:rFonts w:hint="default" w:ascii="Times New Roman" w:hAnsi="Times New Roman" w:eastAsia="宋体" w:cs="Times New Roman"/>
          <w:color w:val="auto"/>
          <w:spacing w:val="-1"/>
          <w:sz w:val="24"/>
          <w:szCs w:val="24"/>
          <w:highlight w:val="none"/>
          <w:lang w:val="en-US" w:eastAsia="zh-CN"/>
        </w:rPr>
        <w:t>分，投标人应在截止时间前通过平台递交电子投标文件。</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6.2 逾期送达的投标文件，电子招标投标交易平台将予以拒收。</w:t>
      </w:r>
    </w:p>
    <w:p>
      <w:pPr>
        <w:keepNext w:val="0"/>
        <w:keepLines w:val="0"/>
        <w:pageBreakBefore w:val="0"/>
        <w:widowControl/>
        <w:kinsoku w:val="0"/>
        <w:wordWrap/>
        <w:overflowPunct/>
        <w:topLinePunct w:val="0"/>
        <w:autoSpaceDE w:val="0"/>
        <w:autoSpaceDN w:val="0"/>
        <w:bidi w:val="0"/>
        <w:adjustRightInd w:val="0"/>
        <w:snapToGrid w:val="0"/>
        <w:spacing w:line="360" w:lineRule="auto"/>
        <w:ind w:left="488"/>
        <w:textAlignment w:val="baseline"/>
        <w:outlineLvl w:val="1"/>
        <w:rPr>
          <w:rFonts w:hint="default" w:ascii="Times New Roman" w:hAnsi="Times New Roman" w:eastAsia="宋体" w:cs="Times New Roman"/>
          <w:b/>
          <w:bCs/>
          <w:color w:val="auto"/>
          <w:spacing w:val="-4"/>
          <w:sz w:val="24"/>
          <w:szCs w:val="24"/>
          <w:highlight w:val="none"/>
          <w:lang w:eastAsia="zh-CN"/>
        </w:rPr>
      </w:pPr>
      <w:bookmarkStart w:id="20" w:name="bookmark138"/>
      <w:bookmarkEnd w:id="20"/>
      <w:bookmarkStart w:id="21" w:name="bookmark137"/>
      <w:bookmarkEnd w:id="21"/>
      <w:bookmarkStart w:id="22" w:name="_Toc21952"/>
      <w:r>
        <w:rPr>
          <w:rFonts w:hint="default" w:ascii="Times New Roman" w:hAnsi="Times New Roman" w:eastAsia="宋体" w:cs="Times New Roman"/>
          <w:b/>
          <w:bCs/>
          <w:color w:val="auto"/>
          <w:spacing w:val="-4"/>
          <w:sz w:val="24"/>
          <w:szCs w:val="24"/>
          <w:highlight w:val="none"/>
          <w:lang w:eastAsia="zh-CN"/>
        </w:rPr>
        <w:t>7.开标时间、地点</w:t>
      </w:r>
      <w:bookmarkEnd w:id="22"/>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7.1 开标时间：2025年</w:t>
      </w:r>
      <w:r>
        <w:rPr>
          <w:rFonts w:hint="eastAsia" w:ascii="Times New Roman" w:hAnsi="Times New Roman" w:eastAsia="宋体" w:cs="Times New Roman"/>
          <w:color w:val="auto"/>
          <w:spacing w:val="-1"/>
          <w:sz w:val="24"/>
          <w:szCs w:val="24"/>
          <w:highlight w:val="none"/>
          <w:lang w:val="en-US" w:eastAsia="zh-CN"/>
        </w:rPr>
        <w:t>10</w:t>
      </w:r>
      <w:r>
        <w:rPr>
          <w:rFonts w:hint="default" w:ascii="Times New Roman" w:hAnsi="Times New Roman" w:eastAsia="宋体" w:cs="Times New Roman"/>
          <w:color w:val="auto"/>
          <w:spacing w:val="-1"/>
          <w:sz w:val="24"/>
          <w:szCs w:val="24"/>
          <w:highlight w:val="none"/>
          <w:lang w:val="en-US" w:eastAsia="zh-CN"/>
        </w:rPr>
        <w:t>月</w:t>
      </w:r>
      <w:r>
        <w:rPr>
          <w:rFonts w:hint="eastAsia" w:ascii="Times New Roman" w:hAnsi="Times New Roman" w:eastAsia="宋体" w:cs="Times New Roman"/>
          <w:color w:val="auto"/>
          <w:spacing w:val="-1"/>
          <w:sz w:val="24"/>
          <w:szCs w:val="24"/>
          <w:highlight w:val="none"/>
          <w:lang w:val="en-US" w:eastAsia="zh-CN"/>
        </w:rPr>
        <w:t>22</w:t>
      </w:r>
      <w:r>
        <w:rPr>
          <w:rFonts w:hint="default" w:ascii="Times New Roman" w:hAnsi="Times New Roman" w:eastAsia="宋体" w:cs="Times New Roman"/>
          <w:color w:val="auto"/>
          <w:spacing w:val="-1"/>
          <w:sz w:val="24"/>
          <w:szCs w:val="24"/>
          <w:highlight w:val="none"/>
          <w:lang w:val="en-US" w:eastAsia="zh-CN"/>
        </w:rPr>
        <w:t>日</w:t>
      </w:r>
      <w:r>
        <w:rPr>
          <w:rFonts w:hint="eastAsia" w:ascii="Times New Roman" w:hAnsi="Times New Roman" w:eastAsia="宋体" w:cs="Times New Roman"/>
          <w:color w:val="auto"/>
          <w:spacing w:val="-1"/>
          <w:sz w:val="24"/>
          <w:szCs w:val="24"/>
          <w:highlight w:val="none"/>
          <w:lang w:val="en-US" w:eastAsia="zh-CN"/>
        </w:rPr>
        <w:t>9</w:t>
      </w:r>
      <w:r>
        <w:rPr>
          <w:rFonts w:hint="default" w:ascii="Times New Roman" w:hAnsi="Times New Roman" w:eastAsia="宋体" w:cs="Times New Roman"/>
          <w:color w:val="auto"/>
          <w:spacing w:val="-1"/>
          <w:sz w:val="24"/>
          <w:szCs w:val="24"/>
          <w:highlight w:val="none"/>
          <w:lang w:val="en-US" w:eastAsia="zh-CN"/>
        </w:rPr>
        <w:t>时</w:t>
      </w:r>
      <w:r>
        <w:rPr>
          <w:rFonts w:hint="eastAsia" w:ascii="Times New Roman" w:hAnsi="Times New Roman" w:eastAsia="宋体" w:cs="Times New Roman"/>
          <w:color w:val="auto"/>
          <w:spacing w:val="-1"/>
          <w:sz w:val="24"/>
          <w:szCs w:val="24"/>
          <w:highlight w:val="none"/>
          <w:lang w:val="en-US" w:eastAsia="zh-CN"/>
        </w:rPr>
        <w:t>30</w:t>
      </w:r>
      <w:r>
        <w:rPr>
          <w:rFonts w:hint="default" w:ascii="Times New Roman" w:hAnsi="Times New Roman" w:eastAsia="宋体" w:cs="Times New Roman"/>
          <w:color w:val="auto"/>
          <w:spacing w:val="-1"/>
          <w:sz w:val="24"/>
          <w:szCs w:val="24"/>
          <w:highlight w:val="none"/>
          <w:lang w:val="en-US" w:eastAsia="zh-CN"/>
        </w:rPr>
        <w:t>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7.2 开标地点：平台线上开标</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2"/>
        <w:textAlignment w:val="baseline"/>
        <w:outlineLvl w:val="9"/>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lang w:val="en-US" w:eastAsia="zh-CN"/>
        </w:rPr>
        <w:t>投标人不用到现场，但仍需在线参加开标过程。在开标时间前，招标人会开启  远程开标大厅，投标人须登录投标管家（登录中国有色集团采购招标电子商务平台  （</w:t>
      </w:r>
      <w:r>
        <w:rPr>
          <w:rFonts w:hint="default" w:ascii="Times New Roman" w:hAnsi="Times New Roman" w:eastAsia="宋体" w:cs="Times New Roman"/>
          <w:color w:val="auto"/>
          <w:spacing w:val="-1"/>
          <w:sz w:val="24"/>
          <w:szCs w:val="24"/>
          <w:highlight w:val="none"/>
          <w:lang w:val="en-US" w:eastAsia="zh-CN"/>
        </w:rPr>
        <w:fldChar w:fldCharType="begin"/>
      </w:r>
      <w:r>
        <w:rPr>
          <w:rFonts w:hint="default" w:ascii="Times New Roman" w:hAnsi="Times New Roman" w:eastAsia="宋体" w:cs="Times New Roman"/>
          <w:color w:val="auto"/>
          <w:spacing w:val="-1"/>
          <w:sz w:val="24"/>
          <w:szCs w:val="24"/>
          <w:highlight w:val="none"/>
          <w:lang w:val="en-US" w:eastAsia="zh-CN"/>
        </w:rPr>
        <w:instrText xml:space="preserve"> HYPERLINK "http://ecp.cnmc.com.cn/" </w:instrText>
      </w:r>
      <w:r>
        <w:rPr>
          <w:rFonts w:hint="default" w:ascii="Times New Roman" w:hAnsi="Times New Roman" w:eastAsia="宋体" w:cs="Times New Roman"/>
          <w:color w:val="auto"/>
          <w:spacing w:val="-1"/>
          <w:sz w:val="24"/>
          <w:szCs w:val="24"/>
          <w:highlight w:val="none"/>
          <w:lang w:val="en-US" w:eastAsia="zh-CN"/>
        </w:rPr>
        <w:fldChar w:fldCharType="separate"/>
      </w:r>
      <w:r>
        <w:rPr>
          <w:rFonts w:hint="default" w:ascii="Times New Roman" w:hAnsi="Times New Roman" w:eastAsia="宋体" w:cs="Times New Roman"/>
          <w:color w:val="auto"/>
          <w:spacing w:val="-1"/>
          <w:sz w:val="24"/>
          <w:szCs w:val="24"/>
          <w:highlight w:val="none"/>
          <w:lang w:val="en-US" w:eastAsia="zh-CN"/>
        </w:rPr>
        <w:t>http://ecp.cnmc.com.cn/</w:t>
      </w:r>
      <w:r>
        <w:rPr>
          <w:rFonts w:hint="default" w:ascii="Times New Roman" w:hAnsi="Times New Roman" w:eastAsia="宋体" w:cs="Times New Roman"/>
          <w:color w:val="auto"/>
          <w:spacing w:val="-1"/>
          <w:sz w:val="24"/>
          <w:szCs w:val="24"/>
          <w:highlight w:val="none"/>
          <w:lang w:val="en-US" w:eastAsia="zh-CN"/>
        </w:rPr>
        <w:fldChar w:fldCharType="end"/>
      </w:r>
      <w:r>
        <w:rPr>
          <w:rFonts w:hint="default" w:ascii="Times New Roman" w:hAnsi="Times New Roman" w:eastAsia="宋体" w:cs="Times New Roman"/>
          <w:color w:val="auto"/>
          <w:spacing w:val="-1"/>
          <w:sz w:val="24"/>
          <w:szCs w:val="24"/>
          <w:highlight w:val="none"/>
          <w:lang w:val="en-US" w:eastAsia="zh-CN"/>
        </w:rPr>
        <w:t>），页面右方下载中心下载投标管家）点击“在线签到”。开标时间则截止签到，招标人开启远程解密，投标人在投标管家中点击“一键解密”解密标书，系统开始唱标。</w:t>
      </w:r>
    </w:p>
    <w:p>
      <w:pPr>
        <w:keepNext w:val="0"/>
        <w:keepLines w:val="0"/>
        <w:pageBreakBefore w:val="0"/>
        <w:widowControl/>
        <w:kinsoku w:val="0"/>
        <w:wordWrap/>
        <w:overflowPunct/>
        <w:topLinePunct w:val="0"/>
        <w:autoSpaceDE w:val="0"/>
        <w:autoSpaceDN w:val="0"/>
        <w:bidi w:val="0"/>
        <w:adjustRightInd w:val="0"/>
        <w:snapToGrid w:val="0"/>
        <w:spacing w:line="360" w:lineRule="auto"/>
        <w:ind w:left="488"/>
        <w:textAlignment w:val="baseline"/>
        <w:outlineLvl w:val="1"/>
        <w:rPr>
          <w:rFonts w:hint="default" w:ascii="Times New Roman" w:hAnsi="Times New Roman" w:eastAsia="宋体" w:cs="Times New Roman"/>
          <w:b/>
          <w:bCs/>
          <w:color w:val="auto"/>
          <w:spacing w:val="-4"/>
          <w:sz w:val="24"/>
          <w:szCs w:val="24"/>
          <w:highlight w:val="none"/>
          <w:lang w:eastAsia="zh-CN"/>
        </w:rPr>
      </w:pPr>
      <w:bookmarkStart w:id="23" w:name="bookmark140"/>
      <w:bookmarkEnd w:id="23"/>
      <w:bookmarkStart w:id="24" w:name="bookmark139"/>
      <w:bookmarkEnd w:id="24"/>
      <w:bookmarkStart w:id="25" w:name="_Toc21200"/>
      <w:bookmarkStart w:id="26" w:name="_Toc2293"/>
      <w:bookmarkStart w:id="27" w:name="_Toc23410"/>
      <w:bookmarkStart w:id="28" w:name="_Toc65848095"/>
      <w:bookmarkStart w:id="29" w:name="_Toc28525"/>
      <w:bookmarkStart w:id="30" w:name="_Toc18512"/>
      <w:bookmarkStart w:id="31" w:name="_Toc119056188"/>
      <w:bookmarkStart w:id="32" w:name="_Toc8190"/>
      <w:bookmarkStart w:id="33" w:name="_Toc19672"/>
      <w:bookmarkStart w:id="34" w:name="_Toc18506"/>
      <w:bookmarkStart w:id="35" w:name="_Toc1499"/>
      <w:bookmarkStart w:id="36" w:name="_Toc10415"/>
      <w:bookmarkStart w:id="37" w:name="_Toc23113"/>
      <w:bookmarkStart w:id="38" w:name="_Toc19450"/>
      <w:bookmarkStart w:id="39" w:name="_Toc8069"/>
      <w:bookmarkStart w:id="40" w:name="_Toc13513"/>
      <w:bookmarkStart w:id="41" w:name="_Toc25090"/>
      <w:bookmarkStart w:id="42" w:name="_Toc23244"/>
      <w:bookmarkStart w:id="43" w:name="_Toc20384"/>
      <w:bookmarkStart w:id="44" w:name="_Toc28700"/>
      <w:bookmarkStart w:id="45" w:name="_Toc16527"/>
      <w:r>
        <w:rPr>
          <w:rFonts w:hint="default" w:ascii="Times New Roman" w:hAnsi="Times New Roman" w:eastAsia="宋体" w:cs="Times New Roman"/>
          <w:b/>
          <w:bCs/>
          <w:color w:val="auto"/>
          <w:spacing w:val="-4"/>
          <w:sz w:val="24"/>
          <w:szCs w:val="24"/>
          <w:highlight w:val="none"/>
          <w:lang w:eastAsia="zh-CN"/>
        </w:rPr>
        <w:t>8.发布公告的媒介</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pStyle w:val="4"/>
        <w:spacing w:line="360" w:lineRule="auto"/>
        <w:ind w:firstLine="714" w:firstLineChars="300"/>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本次招标公告同时在中国有色集团采购招标电子商务平台（http://ecp.cnmc.com.cn/）及中国招投标公共服务平台（http://www.cebpubservice.com/）上发布。</w:t>
      </w:r>
    </w:p>
    <w:p>
      <w:pPr>
        <w:keepNext w:val="0"/>
        <w:keepLines w:val="0"/>
        <w:pageBreakBefore w:val="0"/>
        <w:widowControl/>
        <w:kinsoku w:val="0"/>
        <w:wordWrap/>
        <w:overflowPunct/>
        <w:topLinePunct w:val="0"/>
        <w:autoSpaceDE w:val="0"/>
        <w:autoSpaceDN w:val="0"/>
        <w:bidi w:val="0"/>
        <w:adjustRightInd w:val="0"/>
        <w:snapToGrid w:val="0"/>
        <w:spacing w:line="360" w:lineRule="auto"/>
        <w:ind w:left="488"/>
        <w:textAlignment w:val="baseline"/>
        <w:outlineLvl w:val="1"/>
        <w:rPr>
          <w:rFonts w:hint="default" w:ascii="Times New Roman" w:hAnsi="Times New Roman" w:eastAsia="宋体" w:cs="Times New Roman"/>
          <w:b/>
          <w:bCs/>
          <w:color w:val="auto"/>
          <w:spacing w:val="-4"/>
          <w:sz w:val="24"/>
          <w:szCs w:val="24"/>
          <w:highlight w:val="none"/>
          <w:lang w:eastAsia="zh-CN"/>
        </w:rPr>
      </w:pPr>
      <w:bookmarkStart w:id="46" w:name="_Toc11555"/>
      <w:bookmarkStart w:id="47" w:name="_Toc65848096"/>
      <w:bookmarkStart w:id="48" w:name="_Toc27658"/>
      <w:bookmarkStart w:id="49" w:name="_Toc11089"/>
      <w:bookmarkStart w:id="50" w:name="_Toc3701"/>
      <w:bookmarkStart w:id="51" w:name="_Toc11769"/>
      <w:bookmarkStart w:id="52" w:name="_Toc29622"/>
      <w:bookmarkStart w:id="53" w:name="_Toc19999"/>
      <w:bookmarkStart w:id="54" w:name="_Toc119056189"/>
      <w:bookmarkStart w:id="55" w:name="_Toc13"/>
      <w:bookmarkStart w:id="56" w:name="_Toc13710"/>
      <w:bookmarkStart w:id="57" w:name="_Toc6830"/>
      <w:bookmarkStart w:id="58" w:name="_Toc4769"/>
      <w:bookmarkStart w:id="59" w:name="_Toc17380"/>
      <w:bookmarkStart w:id="60" w:name="_Toc23947"/>
      <w:bookmarkStart w:id="61" w:name="_Toc2551"/>
      <w:bookmarkStart w:id="62" w:name="_Toc17179"/>
      <w:bookmarkStart w:id="63" w:name="_Toc31765"/>
      <w:bookmarkStart w:id="64" w:name="_Toc19351"/>
      <w:bookmarkStart w:id="65" w:name="_Toc30131"/>
      <w:bookmarkStart w:id="66" w:name="_Toc8186"/>
      <w:r>
        <w:rPr>
          <w:rFonts w:hint="default" w:ascii="Times New Roman" w:hAnsi="Times New Roman" w:eastAsia="宋体" w:cs="Times New Roman"/>
          <w:b/>
          <w:bCs/>
          <w:color w:val="auto"/>
          <w:spacing w:val="-4"/>
          <w:sz w:val="24"/>
          <w:szCs w:val="24"/>
          <w:highlight w:val="none"/>
          <w:lang w:eastAsia="zh-CN"/>
        </w:rPr>
        <w:t>9</w:t>
      </w:r>
      <w:bookmarkStart w:id="67" w:name="_Hlk69307067"/>
      <w:r>
        <w:rPr>
          <w:rFonts w:hint="default" w:ascii="Times New Roman" w:hAnsi="Times New Roman" w:eastAsia="宋体" w:cs="Times New Roman"/>
          <w:b/>
          <w:bCs/>
          <w:color w:val="auto"/>
          <w:spacing w:val="-4"/>
          <w:sz w:val="24"/>
          <w:szCs w:val="24"/>
          <w:highlight w:val="none"/>
          <w:lang w:eastAsia="zh-CN"/>
        </w:rPr>
        <w:t>.联系方式</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bookmarkEnd w:id="67"/>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招标人：中色国际贸易有限公司（中国有色矿业集团有限公司集中采购中心）</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地  址：北京市朝阳区安定路10号中国有色大厦北楼</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邮  编：100029</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招标联系人：</w:t>
      </w:r>
      <w:r>
        <w:rPr>
          <w:rFonts w:hint="eastAsia" w:ascii="Times New Roman" w:hAnsi="Times New Roman" w:eastAsia="宋体" w:cs="Times New Roman"/>
          <w:snapToGrid w:val="0"/>
          <w:color w:val="auto"/>
          <w:spacing w:val="-1"/>
          <w:sz w:val="24"/>
          <w:szCs w:val="24"/>
          <w:highlight w:val="none"/>
          <w:lang w:val="en-US" w:eastAsia="zh-CN" w:bidi="ar-SA"/>
        </w:rPr>
        <w:t>赵迪</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电    话：010-8442</w:t>
      </w:r>
      <w:r>
        <w:rPr>
          <w:rFonts w:hint="eastAsia" w:ascii="Times New Roman" w:hAnsi="Times New Roman" w:eastAsia="宋体" w:cs="Times New Roman"/>
          <w:snapToGrid w:val="0"/>
          <w:color w:val="auto"/>
          <w:spacing w:val="-1"/>
          <w:sz w:val="24"/>
          <w:szCs w:val="24"/>
          <w:highlight w:val="none"/>
          <w:lang w:val="en-US" w:eastAsia="zh-CN" w:bidi="ar-SA"/>
        </w:rPr>
        <w:t>7183</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电子邮件：</w:t>
      </w:r>
      <w:r>
        <w:rPr>
          <w:rFonts w:hint="eastAsia" w:ascii="Times New Roman" w:hAnsi="Times New Roman" w:eastAsia="宋体" w:cs="Times New Roman"/>
          <w:snapToGrid w:val="0"/>
          <w:color w:val="auto"/>
          <w:spacing w:val="-1"/>
          <w:sz w:val="24"/>
          <w:szCs w:val="24"/>
          <w:highlight w:val="none"/>
          <w:lang w:val="en-US" w:eastAsia="zh-CN" w:bidi="ar-SA"/>
        </w:rPr>
        <w:t>zhaodi</w:t>
      </w:r>
      <w:r>
        <w:rPr>
          <w:rFonts w:hint="default" w:ascii="Times New Roman" w:hAnsi="Times New Roman" w:eastAsia="宋体" w:cs="Times New Roman"/>
          <w:snapToGrid w:val="0"/>
          <w:color w:val="auto"/>
          <w:spacing w:val="-1"/>
          <w:sz w:val="24"/>
          <w:szCs w:val="24"/>
          <w:highlight w:val="none"/>
          <w:lang w:val="en-US" w:eastAsia="zh-CN" w:bidi="ar-SA"/>
        </w:rPr>
        <w:t>@cnit.cnmc.com.cn</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集采联系人：王鹏</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电    话：010-84437996</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邮    箱：wangpeng@cnit.cnmc.com.cn</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行政监督部门：中色国际贸易有限公司运营管理部</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电话：010-8442</w:t>
      </w:r>
      <w:r>
        <w:rPr>
          <w:rFonts w:hint="eastAsia" w:ascii="Times New Roman" w:hAnsi="Times New Roman" w:eastAsia="宋体" w:cs="Times New Roman"/>
          <w:snapToGrid w:val="0"/>
          <w:color w:val="auto"/>
          <w:spacing w:val="-1"/>
          <w:sz w:val="24"/>
          <w:szCs w:val="24"/>
          <w:highlight w:val="none"/>
          <w:lang w:val="en-US" w:eastAsia="zh-CN" w:bidi="ar-SA"/>
        </w:rPr>
        <w:t>4801</w:t>
      </w:r>
    </w:p>
    <w:p>
      <w:pPr>
        <w:pStyle w:val="4"/>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宋体" w:cs="Times New Roman"/>
          <w:snapToGrid w:val="0"/>
          <w:color w:val="auto"/>
          <w:spacing w:val="-1"/>
          <w:sz w:val="24"/>
          <w:szCs w:val="24"/>
          <w:highlight w:val="none"/>
          <w:lang w:val="en-US" w:eastAsia="zh-CN" w:bidi="ar-SA"/>
        </w:rPr>
      </w:pPr>
      <w:r>
        <w:rPr>
          <w:rFonts w:hint="default" w:ascii="Times New Roman" w:hAnsi="Times New Roman" w:eastAsia="宋体" w:cs="Times New Roman"/>
          <w:snapToGrid w:val="0"/>
          <w:color w:val="auto"/>
          <w:spacing w:val="-1"/>
          <w:sz w:val="24"/>
          <w:szCs w:val="24"/>
          <w:highlight w:val="none"/>
          <w:lang w:val="en-US" w:eastAsia="zh-CN" w:bidi="ar-SA"/>
        </w:rPr>
        <w:t>平台运营方客服（平台使用技术问题解答）：4000809508</w:t>
      </w:r>
    </w:p>
    <w:p>
      <w:pPr>
        <w:pStyle w:val="4"/>
        <w:spacing w:line="360" w:lineRule="auto"/>
        <w:rPr>
          <w:rFonts w:hint="default" w:ascii="Times New Roman" w:hAnsi="Times New Roman" w:eastAsia="宋体" w:cs="Times New Roman"/>
          <w:color w:val="auto"/>
          <w:sz w:val="24"/>
          <w:szCs w:val="24"/>
          <w:highlight w:val="none"/>
          <w:lang w:eastAsia="zh-CN"/>
        </w:rPr>
      </w:pPr>
    </w:p>
    <w:p>
      <w:pPr>
        <w:pStyle w:val="4"/>
        <w:spacing w:line="360" w:lineRule="auto"/>
        <w:rPr>
          <w:rFonts w:hint="default" w:ascii="Times New Roman" w:hAnsi="Times New Roman" w:eastAsia="宋体" w:cs="Times New Roman"/>
          <w:color w:val="auto"/>
          <w:sz w:val="24"/>
          <w:szCs w:val="24"/>
          <w:highlight w:val="none"/>
          <w:lang w:eastAsia="zh-CN"/>
        </w:rPr>
      </w:pPr>
    </w:p>
    <w:p>
      <w:pPr>
        <w:pStyle w:val="4"/>
        <w:spacing w:line="360" w:lineRule="auto"/>
        <w:rPr>
          <w:rFonts w:hint="default" w:ascii="Times New Roman" w:hAnsi="Times New Roman" w:eastAsia="宋体" w:cs="Times New Roman"/>
          <w:color w:val="auto"/>
          <w:sz w:val="24"/>
          <w:szCs w:val="24"/>
          <w:highlight w:val="none"/>
          <w:lang w:eastAsia="zh-CN"/>
        </w:rPr>
      </w:pPr>
    </w:p>
    <w:p>
      <w:pPr>
        <w:pStyle w:val="4"/>
        <w:spacing w:before="78" w:line="360" w:lineRule="auto"/>
        <w:rPr>
          <w:rFonts w:hint="default" w:ascii="Times New Roman" w:hAnsi="Times New Roman" w:eastAsia="宋体" w:cs="Times New Roman"/>
          <w:color w:val="auto"/>
          <w:spacing w:val="-1"/>
          <w:sz w:val="24"/>
          <w:szCs w:val="24"/>
          <w:highlight w:val="none"/>
          <w:lang w:eastAsia="zh-CN"/>
        </w:rPr>
      </w:pPr>
    </w:p>
    <w:p>
      <w:pPr>
        <w:spacing w:before="78" w:line="360" w:lineRule="auto"/>
        <w:ind w:left="0" w:leftChars="0" w:firstLine="3496" w:firstLineChars="1469"/>
        <w:jc w:val="center"/>
        <w:rPr>
          <w:rFonts w:hint="default" w:ascii="Times New Roman" w:hAnsi="Times New Roman" w:eastAsia="宋体" w:cs="Times New Roman"/>
          <w:color w:val="auto"/>
          <w:sz w:val="24"/>
          <w:szCs w:val="24"/>
          <w:highlight w:val="none"/>
          <w:lang w:eastAsia="zh-CN"/>
        </w:rPr>
      </w:pPr>
      <w:bookmarkStart w:id="70" w:name="_GoBack"/>
      <w:r>
        <w:rPr>
          <w:rFonts w:hint="default" w:ascii="Times New Roman" w:hAnsi="Times New Roman" w:eastAsia="宋体" w:cs="Times New Roman"/>
          <w:color w:val="auto"/>
          <w:spacing w:val="-1"/>
          <w:sz w:val="24"/>
          <w:szCs w:val="24"/>
          <w:highlight w:val="none"/>
          <w:lang w:eastAsia="zh-CN"/>
        </w:rPr>
        <w:t>招标人：中色国际贸易有限公司</w:t>
      </w:r>
    </w:p>
    <w:p>
      <w:pPr>
        <w:spacing w:before="180" w:line="360" w:lineRule="auto"/>
        <w:ind w:left="0" w:leftChars="0" w:firstLine="3466" w:firstLineChars="1469"/>
        <w:jc w:val="center"/>
        <w:rPr>
          <w:rFonts w:hint="default" w:ascii="Times New Roman" w:hAnsi="Times New Roman" w:eastAsia="宋体" w:cs="Times New Roman"/>
          <w:color w:val="auto"/>
          <w:spacing w:val="5"/>
          <w:sz w:val="24"/>
          <w:szCs w:val="24"/>
          <w:highlight w:val="none"/>
          <w:lang w:eastAsia="zh-CN"/>
        </w:rPr>
      </w:pPr>
      <w:r>
        <w:rPr>
          <w:rFonts w:hint="default" w:ascii="Times New Roman" w:hAnsi="Times New Roman" w:eastAsia="宋体" w:cs="Times New Roman"/>
          <w:color w:val="auto"/>
          <w:spacing w:val="-2"/>
          <w:sz w:val="24"/>
          <w:szCs w:val="24"/>
          <w:highlight w:val="none"/>
          <w:lang w:eastAsia="zh-CN"/>
        </w:rPr>
        <w:t>（中国有色矿业集团有限公司集中采购中心）</w:t>
      </w:r>
    </w:p>
    <w:p>
      <w:pPr>
        <w:spacing w:before="180" w:line="360" w:lineRule="auto"/>
        <w:ind w:left="0" w:leftChars="0" w:firstLine="3496" w:firstLineChars="1469"/>
        <w:jc w:val="center"/>
        <w:rPr>
          <w:color w:val="auto"/>
          <w:highlight w:val="none"/>
          <w:lang w:eastAsia="zh-CN"/>
        </w:rPr>
      </w:pPr>
      <w:r>
        <w:rPr>
          <w:rFonts w:hint="default" w:ascii="Times New Roman" w:hAnsi="Times New Roman" w:eastAsia="宋体" w:cs="Times New Roman"/>
          <w:color w:val="auto"/>
          <w:spacing w:val="-1"/>
          <w:sz w:val="24"/>
          <w:szCs w:val="24"/>
          <w:highlight w:val="none"/>
          <w:lang w:val="en-US" w:eastAsia="zh-CN"/>
        </w:rPr>
        <w:t xml:space="preserve"> 2025年</w:t>
      </w:r>
      <w:r>
        <w:rPr>
          <w:rFonts w:hint="eastAsia" w:ascii="Times New Roman" w:hAnsi="Times New Roman" w:eastAsia="宋体" w:cs="Times New Roman"/>
          <w:color w:val="auto"/>
          <w:spacing w:val="-1"/>
          <w:sz w:val="24"/>
          <w:szCs w:val="24"/>
          <w:highlight w:val="none"/>
          <w:lang w:val="en-US" w:eastAsia="zh-CN"/>
        </w:rPr>
        <w:t>10</w:t>
      </w:r>
      <w:r>
        <w:rPr>
          <w:rFonts w:hint="default" w:ascii="Times New Roman" w:hAnsi="Times New Roman" w:eastAsia="宋体" w:cs="Times New Roman"/>
          <w:color w:val="auto"/>
          <w:spacing w:val="-1"/>
          <w:sz w:val="24"/>
          <w:szCs w:val="24"/>
          <w:highlight w:val="none"/>
          <w:lang w:val="en-US" w:eastAsia="zh-CN"/>
        </w:rPr>
        <w:t>月</w:t>
      </w:r>
      <w:r>
        <w:rPr>
          <w:rFonts w:hint="eastAsia" w:ascii="Times New Roman" w:hAnsi="Times New Roman" w:eastAsia="宋体" w:cs="Times New Roman"/>
          <w:color w:val="auto"/>
          <w:spacing w:val="-1"/>
          <w:sz w:val="24"/>
          <w:szCs w:val="24"/>
          <w:highlight w:val="none"/>
          <w:lang w:val="en-US" w:eastAsia="zh-CN"/>
        </w:rPr>
        <w:t>11</w:t>
      </w:r>
      <w:r>
        <w:rPr>
          <w:rFonts w:hint="default" w:ascii="Times New Roman" w:hAnsi="Times New Roman" w:eastAsia="宋体" w:cs="Times New Roman"/>
          <w:color w:val="auto"/>
          <w:spacing w:val="-1"/>
          <w:sz w:val="24"/>
          <w:szCs w:val="24"/>
          <w:highlight w:val="none"/>
          <w:lang w:val="en-US" w:eastAsia="zh-CN"/>
        </w:rPr>
        <w:t>日</w:t>
      </w:r>
      <w:bookmarkStart w:id="68" w:name="bookmark143"/>
      <w:bookmarkEnd w:id="68"/>
      <w:bookmarkStart w:id="69" w:name="bookmark144"/>
      <w:bookmarkEnd w:id="69"/>
    </w:p>
    <w:bookmarkEnd w:id="70"/>
    <w:sectPr>
      <w:footerReference r:id="rId3" w:type="default"/>
      <w:pgSz w:w="11906" w:h="16839"/>
      <w:pgMar w:top="1429" w:right="1785" w:bottom="1299" w:left="1785" w:header="0" w:footer="1085"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9" w:lineRule="auto"/>
      <w:ind w:left="3409"/>
      <w:rPr>
        <w:rFonts w:ascii="宋体" w:hAnsi="宋体" w:eastAsia="宋体" w:cs="宋体"/>
        <w:sz w:val="18"/>
        <w:szCs w:val="18"/>
      </w:rPr>
    </w:pPr>
    <w:r>
      <w:rPr>
        <w:sz w:val="18"/>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75</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nJ0VAgAAFQQAAA4AAABkcnMvZTJvRG9jLnhtbK1Ty47TMBTdI/EP&#10;lvc0aUc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n+nJ0VAgAAFQQAAA4AAAAAAAAA&#10;AQAgAAAAHwEAAGRycy9lMm9Eb2MueG1sUEsFBgAAAAAGAAYAWQEAAKYFAAAAAA==&#10;">
              <v:fill on="f" focussize="0,0"/>
              <v:stroke on="f" weight="0.5pt"/>
              <v:imagedata o:title=""/>
              <o:lock v:ext="edit" aspectratio="f"/>
              <v:textbox inset="0mm,0mm,0mm,0mm" style="mso-fit-shape-to-text:t;">
                <w:txbxContent>
                  <w:p>
                    <w:pPr>
                      <w:pStyle w:val="18"/>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75</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YWZiYWViNDA4YWY1NTlmMTE3MTBlYTRjNjc2MzA3MDMifQ=="/>
  </w:docVars>
  <w:rsids>
    <w:rsidRoot w:val="00971238"/>
    <w:rsid w:val="00056D08"/>
    <w:rsid w:val="00195CD7"/>
    <w:rsid w:val="001E1D44"/>
    <w:rsid w:val="001E718F"/>
    <w:rsid w:val="003B6F52"/>
    <w:rsid w:val="003D190A"/>
    <w:rsid w:val="00416D8D"/>
    <w:rsid w:val="004A0A76"/>
    <w:rsid w:val="005461F2"/>
    <w:rsid w:val="008566C3"/>
    <w:rsid w:val="008A6B8B"/>
    <w:rsid w:val="008B6620"/>
    <w:rsid w:val="00971238"/>
    <w:rsid w:val="00B755DE"/>
    <w:rsid w:val="00B92F20"/>
    <w:rsid w:val="00C26D9D"/>
    <w:rsid w:val="00C523B7"/>
    <w:rsid w:val="00C53A06"/>
    <w:rsid w:val="00D6666E"/>
    <w:rsid w:val="00E44405"/>
    <w:rsid w:val="00FA5B6A"/>
    <w:rsid w:val="00FA78F4"/>
    <w:rsid w:val="0129405E"/>
    <w:rsid w:val="015571C2"/>
    <w:rsid w:val="025E15E3"/>
    <w:rsid w:val="02694758"/>
    <w:rsid w:val="026C6C53"/>
    <w:rsid w:val="034B7DF0"/>
    <w:rsid w:val="03D45DE7"/>
    <w:rsid w:val="04910E4C"/>
    <w:rsid w:val="051F443F"/>
    <w:rsid w:val="05254BD4"/>
    <w:rsid w:val="061A65F3"/>
    <w:rsid w:val="06F139B4"/>
    <w:rsid w:val="081D3824"/>
    <w:rsid w:val="093D40A1"/>
    <w:rsid w:val="09CE44C3"/>
    <w:rsid w:val="0A9F47AA"/>
    <w:rsid w:val="0B2E1030"/>
    <w:rsid w:val="0CB93C5D"/>
    <w:rsid w:val="0CD93F57"/>
    <w:rsid w:val="0D7247DA"/>
    <w:rsid w:val="0D976432"/>
    <w:rsid w:val="0E923D64"/>
    <w:rsid w:val="0FA47547"/>
    <w:rsid w:val="0FEA03BD"/>
    <w:rsid w:val="12043E23"/>
    <w:rsid w:val="131A5C85"/>
    <w:rsid w:val="13330ACF"/>
    <w:rsid w:val="142710D0"/>
    <w:rsid w:val="1478225F"/>
    <w:rsid w:val="14AD6348"/>
    <w:rsid w:val="15BD3F1C"/>
    <w:rsid w:val="15CE381B"/>
    <w:rsid w:val="15F76582"/>
    <w:rsid w:val="17637410"/>
    <w:rsid w:val="17AF2128"/>
    <w:rsid w:val="17CE2C8D"/>
    <w:rsid w:val="17FC7E59"/>
    <w:rsid w:val="185424DE"/>
    <w:rsid w:val="185533D1"/>
    <w:rsid w:val="18F86393"/>
    <w:rsid w:val="19C14346"/>
    <w:rsid w:val="1A2D2AE3"/>
    <w:rsid w:val="1A39781D"/>
    <w:rsid w:val="1A3A7DA7"/>
    <w:rsid w:val="1B8C39E7"/>
    <w:rsid w:val="1B961BCE"/>
    <w:rsid w:val="1BC02974"/>
    <w:rsid w:val="1C4C53A1"/>
    <w:rsid w:val="1EE13B5A"/>
    <w:rsid w:val="201E1563"/>
    <w:rsid w:val="20377C6E"/>
    <w:rsid w:val="213A303A"/>
    <w:rsid w:val="21BA7BC5"/>
    <w:rsid w:val="233574FF"/>
    <w:rsid w:val="234F542D"/>
    <w:rsid w:val="23863557"/>
    <w:rsid w:val="251442B9"/>
    <w:rsid w:val="26F62226"/>
    <w:rsid w:val="279F1422"/>
    <w:rsid w:val="2845596B"/>
    <w:rsid w:val="286909D1"/>
    <w:rsid w:val="297F69F9"/>
    <w:rsid w:val="29BC743F"/>
    <w:rsid w:val="2ACA10A6"/>
    <w:rsid w:val="2B215582"/>
    <w:rsid w:val="2BDB74E0"/>
    <w:rsid w:val="2CBD09C5"/>
    <w:rsid w:val="2D963585"/>
    <w:rsid w:val="2DC10D6D"/>
    <w:rsid w:val="2E4144DB"/>
    <w:rsid w:val="2E6720BF"/>
    <w:rsid w:val="2E9B68D0"/>
    <w:rsid w:val="2F3A076E"/>
    <w:rsid w:val="308D0E25"/>
    <w:rsid w:val="30C261D1"/>
    <w:rsid w:val="32653AD0"/>
    <w:rsid w:val="350B07D5"/>
    <w:rsid w:val="358C5342"/>
    <w:rsid w:val="37FC12BB"/>
    <w:rsid w:val="382D6D95"/>
    <w:rsid w:val="384B377B"/>
    <w:rsid w:val="38BA0411"/>
    <w:rsid w:val="39E13152"/>
    <w:rsid w:val="3AB53FDE"/>
    <w:rsid w:val="3ACB16A4"/>
    <w:rsid w:val="3BE63F9C"/>
    <w:rsid w:val="3C0A7269"/>
    <w:rsid w:val="3C457444"/>
    <w:rsid w:val="3CEB2C08"/>
    <w:rsid w:val="3E3536AA"/>
    <w:rsid w:val="3E727BB6"/>
    <w:rsid w:val="3FF92240"/>
    <w:rsid w:val="404731F5"/>
    <w:rsid w:val="407521B9"/>
    <w:rsid w:val="41053114"/>
    <w:rsid w:val="411F0DB1"/>
    <w:rsid w:val="421351DF"/>
    <w:rsid w:val="42476A68"/>
    <w:rsid w:val="42822581"/>
    <w:rsid w:val="430F0CE3"/>
    <w:rsid w:val="432B0FF0"/>
    <w:rsid w:val="434C7AFC"/>
    <w:rsid w:val="438C3D2B"/>
    <w:rsid w:val="44640181"/>
    <w:rsid w:val="44815A33"/>
    <w:rsid w:val="454D433F"/>
    <w:rsid w:val="460C1FC7"/>
    <w:rsid w:val="46146C26"/>
    <w:rsid w:val="464200EE"/>
    <w:rsid w:val="46A81264"/>
    <w:rsid w:val="46DF7EAC"/>
    <w:rsid w:val="472F45CD"/>
    <w:rsid w:val="48442B51"/>
    <w:rsid w:val="4AAA2885"/>
    <w:rsid w:val="4C2B0DEE"/>
    <w:rsid w:val="4E2A1F22"/>
    <w:rsid w:val="500B1FD6"/>
    <w:rsid w:val="509A5608"/>
    <w:rsid w:val="51146FC1"/>
    <w:rsid w:val="51252BC5"/>
    <w:rsid w:val="5185147A"/>
    <w:rsid w:val="51D7142B"/>
    <w:rsid w:val="51EF2479"/>
    <w:rsid w:val="52141C40"/>
    <w:rsid w:val="52C16B89"/>
    <w:rsid w:val="53C20A84"/>
    <w:rsid w:val="54046D48"/>
    <w:rsid w:val="55DB6F0E"/>
    <w:rsid w:val="5674176E"/>
    <w:rsid w:val="578B2A62"/>
    <w:rsid w:val="5B373D1D"/>
    <w:rsid w:val="5B774476"/>
    <w:rsid w:val="5BFE3AE6"/>
    <w:rsid w:val="5C8071C5"/>
    <w:rsid w:val="5D0C529C"/>
    <w:rsid w:val="5DC6498A"/>
    <w:rsid w:val="5E111DC1"/>
    <w:rsid w:val="5EB602AC"/>
    <w:rsid w:val="5EC56E59"/>
    <w:rsid w:val="5F47502C"/>
    <w:rsid w:val="606B755C"/>
    <w:rsid w:val="61192445"/>
    <w:rsid w:val="6276642E"/>
    <w:rsid w:val="651D7157"/>
    <w:rsid w:val="653F7FE7"/>
    <w:rsid w:val="664056BD"/>
    <w:rsid w:val="6676365B"/>
    <w:rsid w:val="67FA733D"/>
    <w:rsid w:val="690938A0"/>
    <w:rsid w:val="692C46BF"/>
    <w:rsid w:val="694A0156"/>
    <w:rsid w:val="6A1526EC"/>
    <w:rsid w:val="6A2666FC"/>
    <w:rsid w:val="6ADD25BF"/>
    <w:rsid w:val="6B5D5935"/>
    <w:rsid w:val="6B677CD0"/>
    <w:rsid w:val="6DE375A6"/>
    <w:rsid w:val="6FE25ACB"/>
    <w:rsid w:val="70455558"/>
    <w:rsid w:val="71387DC0"/>
    <w:rsid w:val="72D07877"/>
    <w:rsid w:val="73171C23"/>
    <w:rsid w:val="737E282A"/>
    <w:rsid w:val="747F4633"/>
    <w:rsid w:val="74DD0E29"/>
    <w:rsid w:val="75AE3FC5"/>
    <w:rsid w:val="75AF0BD8"/>
    <w:rsid w:val="77F3290A"/>
    <w:rsid w:val="797519A3"/>
    <w:rsid w:val="79772EE9"/>
    <w:rsid w:val="7DA15B79"/>
    <w:rsid w:val="7E1255D2"/>
    <w:rsid w:val="7E8B4C2D"/>
    <w:rsid w:val="7E8C5949"/>
    <w:rsid w:val="7FFD6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7">
    <w:name w:val="heading 2"/>
    <w:basedOn w:val="4"/>
    <w:next w:val="1"/>
    <w:link w:val="35"/>
    <w:qFormat/>
    <w:uiPriority w:val="0"/>
    <w:pPr>
      <w:widowControl w:val="0"/>
      <w:kinsoku/>
      <w:autoSpaceDE/>
      <w:autoSpaceDN/>
      <w:adjustRightInd/>
      <w:snapToGrid/>
      <w:spacing w:line="360" w:lineRule="auto"/>
      <w:ind w:firstLine="480" w:firstLineChars="200"/>
      <w:jc w:val="both"/>
      <w:textAlignment w:val="auto"/>
      <w:outlineLvl w:val="1"/>
    </w:pPr>
    <w:rPr>
      <w:rFonts w:ascii="Times New Roman" w:hAnsi="Times New Roman" w:eastAsia="宋体" w:cs="Times New Roman"/>
      <w:b/>
      <w:bCs/>
      <w:snapToGrid/>
      <w:color w:val="auto"/>
      <w:sz w:val="24"/>
      <w:szCs w:val="24"/>
      <w:lang w:eastAsia="zh-CN"/>
    </w:rPr>
  </w:style>
  <w:style w:type="paragraph" w:styleId="8">
    <w:name w:val="heading 3"/>
    <w:basedOn w:val="1"/>
    <w:next w:val="1"/>
    <w:qFormat/>
    <w:uiPriority w:val="1"/>
    <w:pPr>
      <w:spacing w:line="360" w:lineRule="auto"/>
      <w:ind w:firstLine="560" w:firstLineChars="200"/>
      <w:outlineLvl w:val="2"/>
    </w:pPr>
    <w:rPr>
      <w:rFonts w:ascii="Times New Roman" w:hAnsi="Times New Roman" w:cs="Times New Roman"/>
      <w:sz w:val="24"/>
      <w:szCs w:val="24"/>
      <w:lang w:eastAsia="zh-CN"/>
    </w:rPr>
  </w:style>
  <w:style w:type="character" w:default="1" w:styleId="26">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6"/>
    <w:qFormat/>
    <w:uiPriority w:val="0"/>
    <w:pPr>
      <w:spacing w:line="360" w:lineRule="auto"/>
      <w:ind w:left="0" w:leftChars="0" w:firstLine="420"/>
    </w:pPr>
    <w:rPr>
      <w:rFonts w:ascii="宋体" w:hAnsi="宋体"/>
      <w:sz w:val="24"/>
      <w:szCs w:val="24"/>
    </w:rPr>
  </w:style>
  <w:style w:type="paragraph" w:styleId="3">
    <w:name w:val="Body Text Indent"/>
    <w:basedOn w:val="1"/>
    <w:next w:val="4"/>
    <w:qFormat/>
    <w:uiPriority w:val="99"/>
    <w:pPr>
      <w:spacing w:after="120"/>
      <w:ind w:left="420" w:leftChars="200"/>
      <w:jc w:val="both"/>
    </w:pPr>
    <w:rPr>
      <w:rFonts w:ascii="Times New Roman" w:hAnsi="Times New Roman" w:cs="Times New Roman"/>
      <w:kern w:val="2"/>
      <w:sz w:val="21"/>
      <w:szCs w:val="20"/>
      <w:lang w:eastAsia="zh-CN"/>
    </w:rPr>
  </w:style>
  <w:style w:type="paragraph" w:styleId="4">
    <w:name w:val="Body Text"/>
    <w:basedOn w:val="1"/>
    <w:next w:val="5"/>
    <w:semiHidden/>
    <w:qFormat/>
    <w:uiPriority w:val="0"/>
  </w:style>
  <w:style w:type="paragraph" w:customStyle="1" w:styleId="5">
    <w:name w:val="普通(网站)1"/>
    <w:basedOn w:val="1"/>
    <w:qFormat/>
    <w:uiPriority w:val="0"/>
    <w:pPr>
      <w:spacing w:line="360" w:lineRule="auto"/>
    </w:pPr>
    <w:rPr>
      <w:sz w:val="24"/>
    </w:rPr>
  </w:style>
  <w:style w:type="paragraph" w:styleId="6">
    <w:name w:val="Body Text First Indent"/>
    <w:basedOn w:val="4"/>
    <w:unhideWhenUsed/>
    <w:qFormat/>
    <w:uiPriority w:val="99"/>
    <w:pPr>
      <w:spacing w:after="120" w:line="240" w:lineRule="auto"/>
      <w:ind w:firstLine="420" w:firstLineChars="100"/>
    </w:pPr>
    <w:rPr>
      <w:rFonts w:ascii="Arial" w:hAnsi="Arial"/>
      <w:sz w:val="20"/>
      <w:szCs w:val="20"/>
    </w:rPr>
  </w:style>
  <w:style w:type="paragraph" w:styleId="9">
    <w:name w:val="annotation subject"/>
    <w:basedOn w:val="10"/>
    <w:next w:val="10"/>
    <w:link w:val="34"/>
    <w:qFormat/>
    <w:uiPriority w:val="0"/>
    <w:rPr>
      <w:b/>
      <w:bCs/>
    </w:rPr>
  </w:style>
  <w:style w:type="paragraph" w:styleId="10">
    <w:name w:val="annotation text"/>
    <w:basedOn w:val="1"/>
    <w:link w:val="33"/>
    <w:qFormat/>
    <w:uiPriority w:val="0"/>
  </w:style>
  <w:style w:type="paragraph" w:styleId="11">
    <w:name w:val="toc 7"/>
    <w:basedOn w:val="1"/>
    <w:next w:val="1"/>
    <w:unhideWhenUsed/>
    <w:qFormat/>
    <w:uiPriority w:val="39"/>
    <w:pPr>
      <w:widowControl w:val="0"/>
      <w:kinsoku/>
      <w:autoSpaceDE/>
      <w:autoSpaceDN/>
      <w:adjustRightInd/>
      <w:snapToGrid/>
      <w:ind w:left="2520" w:leftChars="1200"/>
      <w:jc w:val="both"/>
      <w:textAlignment w:val="auto"/>
    </w:pPr>
    <w:rPr>
      <w:rFonts w:asciiTheme="minorHAnsi" w:hAnsiTheme="minorHAnsi" w:eastAsiaTheme="minorEastAsia" w:cstheme="minorBidi"/>
      <w:snapToGrid/>
      <w:color w:val="auto"/>
      <w:kern w:val="2"/>
      <w:szCs w:val="22"/>
      <w:lang w:eastAsia="zh-CN"/>
    </w:rPr>
  </w:style>
  <w:style w:type="paragraph" w:styleId="12">
    <w:name w:val="index 6"/>
    <w:basedOn w:val="1"/>
    <w:next w:val="1"/>
    <w:qFormat/>
    <w:uiPriority w:val="0"/>
    <w:pPr>
      <w:ind w:left="1000" w:leftChars="1000"/>
    </w:pPr>
  </w:style>
  <w:style w:type="paragraph" w:styleId="13">
    <w:name w:val="toc 5"/>
    <w:basedOn w:val="1"/>
    <w:next w:val="1"/>
    <w:unhideWhenUsed/>
    <w:qFormat/>
    <w:uiPriority w:val="39"/>
    <w:pPr>
      <w:widowControl w:val="0"/>
      <w:kinsoku/>
      <w:autoSpaceDE/>
      <w:autoSpaceDN/>
      <w:adjustRightInd/>
      <w:snapToGrid/>
      <w:ind w:left="1680" w:leftChars="800"/>
      <w:jc w:val="both"/>
      <w:textAlignment w:val="auto"/>
    </w:pPr>
    <w:rPr>
      <w:rFonts w:asciiTheme="minorHAnsi" w:hAnsiTheme="minorHAnsi" w:eastAsiaTheme="minorEastAsia" w:cstheme="minorBidi"/>
      <w:snapToGrid/>
      <w:color w:val="auto"/>
      <w:kern w:val="2"/>
      <w:szCs w:val="22"/>
      <w:lang w:eastAsia="zh-CN"/>
    </w:rPr>
  </w:style>
  <w:style w:type="paragraph" w:styleId="14">
    <w:name w:val="toc 3"/>
    <w:basedOn w:val="1"/>
    <w:next w:val="1"/>
    <w:qFormat/>
    <w:uiPriority w:val="39"/>
    <w:pPr>
      <w:ind w:left="840" w:leftChars="400"/>
    </w:pPr>
  </w:style>
  <w:style w:type="paragraph" w:styleId="15">
    <w:name w:val="Plain Text"/>
    <w:basedOn w:val="1"/>
    <w:qFormat/>
    <w:uiPriority w:val="0"/>
    <w:rPr>
      <w:rFonts w:hAnsi="Courier New"/>
    </w:rPr>
  </w:style>
  <w:style w:type="paragraph" w:styleId="16">
    <w:name w:val="toc 8"/>
    <w:basedOn w:val="1"/>
    <w:next w:val="1"/>
    <w:unhideWhenUsed/>
    <w:qFormat/>
    <w:uiPriority w:val="39"/>
    <w:pPr>
      <w:widowControl w:val="0"/>
      <w:kinsoku/>
      <w:autoSpaceDE/>
      <w:autoSpaceDN/>
      <w:adjustRightInd/>
      <w:snapToGrid/>
      <w:ind w:left="2940" w:leftChars="1400"/>
      <w:jc w:val="both"/>
      <w:textAlignment w:val="auto"/>
    </w:pPr>
    <w:rPr>
      <w:rFonts w:asciiTheme="minorHAnsi" w:hAnsiTheme="minorHAnsi" w:eastAsiaTheme="minorEastAsia" w:cstheme="minorBidi"/>
      <w:snapToGrid/>
      <w:color w:val="auto"/>
      <w:kern w:val="2"/>
      <w:szCs w:val="22"/>
      <w:lang w:eastAsia="zh-CN"/>
    </w:rPr>
  </w:style>
  <w:style w:type="paragraph" w:styleId="17">
    <w:name w:val="Balloon Text"/>
    <w:basedOn w:val="1"/>
    <w:link w:val="32"/>
    <w:qFormat/>
    <w:uiPriority w:val="0"/>
    <w:rPr>
      <w:sz w:val="18"/>
      <w:szCs w:val="18"/>
    </w:rPr>
  </w:style>
  <w:style w:type="paragraph" w:styleId="18">
    <w:name w:val="footer"/>
    <w:basedOn w:val="1"/>
    <w:qFormat/>
    <w:uiPriority w:val="0"/>
    <w:pPr>
      <w:tabs>
        <w:tab w:val="center" w:pos="4153"/>
        <w:tab w:val="right" w:pos="8306"/>
      </w:tabs>
    </w:pPr>
    <w:rPr>
      <w:sz w:val="18"/>
    </w:rPr>
  </w:style>
  <w:style w:type="paragraph" w:styleId="1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20">
    <w:name w:val="toc 1"/>
    <w:basedOn w:val="1"/>
    <w:next w:val="1"/>
    <w:qFormat/>
    <w:uiPriority w:val="39"/>
  </w:style>
  <w:style w:type="paragraph" w:styleId="21">
    <w:name w:val="toc 4"/>
    <w:basedOn w:val="1"/>
    <w:next w:val="1"/>
    <w:unhideWhenUsed/>
    <w:qFormat/>
    <w:uiPriority w:val="39"/>
    <w:pPr>
      <w:widowControl w:val="0"/>
      <w:kinsoku/>
      <w:autoSpaceDE/>
      <w:autoSpaceDN/>
      <w:adjustRightInd/>
      <w:snapToGrid/>
      <w:ind w:left="1260" w:leftChars="600"/>
      <w:jc w:val="both"/>
      <w:textAlignment w:val="auto"/>
    </w:pPr>
    <w:rPr>
      <w:rFonts w:asciiTheme="minorHAnsi" w:hAnsiTheme="minorHAnsi" w:eastAsiaTheme="minorEastAsia" w:cstheme="minorBidi"/>
      <w:snapToGrid/>
      <w:color w:val="auto"/>
      <w:kern w:val="2"/>
      <w:szCs w:val="22"/>
      <w:lang w:eastAsia="zh-CN"/>
    </w:rPr>
  </w:style>
  <w:style w:type="paragraph" w:styleId="22">
    <w:name w:val="toc 6"/>
    <w:basedOn w:val="1"/>
    <w:next w:val="1"/>
    <w:unhideWhenUsed/>
    <w:qFormat/>
    <w:uiPriority w:val="39"/>
    <w:pPr>
      <w:widowControl w:val="0"/>
      <w:kinsoku/>
      <w:autoSpaceDE/>
      <w:autoSpaceDN/>
      <w:adjustRightInd/>
      <w:snapToGrid/>
      <w:ind w:left="2100" w:leftChars="1000"/>
      <w:jc w:val="both"/>
      <w:textAlignment w:val="auto"/>
    </w:pPr>
    <w:rPr>
      <w:rFonts w:asciiTheme="minorHAnsi" w:hAnsiTheme="minorHAnsi" w:eastAsiaTheme="minorEastAsia" w:cstheme="minorBidi"/>
      <w:snapToGrid/>
      <w:color w:val="auto"/>
      <w:kern w:val="2"/>
      <w:szCs w:val="22"/>
      <w:lang w:eastAsia="zh-CN"/>
    </w:rPr>
  </w:style>
  <w:style w:type="paragraph" w:styleId="23">
    <w:name w:val="toc 2"/>
    <w:basedOn w:val="1"/>
    <w:next w:val="1"/>
    <w:qFormat/>
    <w:uiPriority w:val="39"/>
    <w:pPr>
      <w:ind w:left="420" w:leftChars="200"/>
    </w:pPr>
  </w:style>
  <w:style w:type="paragraph" w:styleId="24">
    <w:name w:val="toc 9"/>
    <w:basedOn w:val="1"/>
    <w:next w:val="1"/>
    <w:unhideWhenUsed/>
    <w:qFormat/>
    <w:uiPriority w:val="39"/>
    <w:pPr>
      <w:widowControl w:val="0"/>
      <w:kinsoku/>
      <w:autoSpaceDE/>
      <w:autoSpaceDN/>
      <w:adjustRightInd/>
      <w:snapToGrid/>
      <w:ind w:left="3360" w:leftChars="1600"/>
      <w:jc w:val="both"/>
      <w:textAlignment w:val="auto"/>
    </w:pPr>
    <w:rPr>
      <w:rFonts w:asciiTheme="minorHAnsi" w:hAnsiTheme="minorHAnsi" w:eastAsiaTheme="minorEastAsia" w:cstheme="minorBidi"/>
      <w:snapToGrid/>
      <w:color w:val="auto"/>
      <w:kern w:val="2"/>
      <w:szCs w:val="22"/>
      <w:lang w:eastAsia="zh-CN"/>
    </w:rPr>
  </w:style>
  <w:style w:type="paragraph" w:styleId="25">
    <w:name w:val="Body Text 2"/>
    <w:basedOn w:val="1"/>
    <w:next w:val="4"/>
    <w:qFormat/>
    <w:uiPriority w:val="0"/>
    <w:pPr>
      <w:jc w:val="center"/>
    </w:pPr>
    <w:rPr>
      <w:rFonts w:eastAsia="黑体" w:cs="Times New Roman"/>
      <w:bCs/>
      <w:sz w:val="72"/>
      <w:szCs w:val="24"/>
    </w:rPr>
  </w:style>
  <w:style w:type="character" w:styleId="27">
    <w:name w:val="Hyperlink"/>
    <w:basedOn w:val="26"/>
    <w:unhideWhenUsed/>
    <w:qFormat/>
    <w:uiPriority w:val="99"/>
    <w:rPr>
      <w:color w:val="0000FF" w:themeColor="hyperlink"/>
      <w:u w:val="single"/>
      <w14:textFill>
        <w14:solidFill>
          <w14:schemeClr w14:val="hlink"/>
        </w14:solidFill>
      </w14:textFill>
    </w:rPr>
  </w:style>
  <w:style w:type="character" w:styleId="28">
    <w:name w:val="annotation reference"/>
    <w:basedOn w:val="26"/>
    <w:qFormat/>
    <w:uiPriority w:val="0"/>
    <w:rPr>
      <w:sz w:val="21"/>
      <w:szCs w:val="21"/>
    </w:rPr>
  </w:style>
  <w:style w:type="table" w:customStyle="1" w:styleId="30">
    <w:name w:val="Table Normal"/>
    <w:semiHidden/>
    <w:unhideWhenUsed/>
    <w:qFormat/>
    <w:uiPriority w:val="0"/>
    <w:tblPr>
      <w:tblLayout w:type="fixed"/>
      <w:tblCellMar>
        <w:top w:w="0" w:type="dxa"/>
        <w:left w:w="0" w:type="dxa"/>
        <w:bottom w:w="0" w:type="dxa"/>
        <w:right w:w="0" w:type="dxa"/>
      </w:tblCellMar>
    </w:tblPr>
  </w:style>
  <w:style w:type="paragraph" w:customStyle="1" w:styleId="31">
    <w:name w:val="Table Text"/>
    <w:basedOn w:val="1"/>
    <w:semiHidden/>
    <w:qFormat/>
    <w:uiPriority w:val="0"/>
  </w:style>
  <w:style w:type="character" w:customStyle="1" w:styleId="32">
    <w:name w:val="批注框文本 Char"/>
    <w:basedOn w:val="26"/>
    <w:link w:val="17"/>
    <w:qFormat/>
    <w:uiPriority w:val="0"/>
    <w:rPr>
      <w:rFonts w:ascii="Arial" w:hAnsi="Arial" w:eastAsia="Arial" w:cs="Arial"/>
      <w:snapToGrid w:val="0"/>
      <w:color w:val="000000"/>
      <w:sz w:val="18"/>
      <w:szCs w:val="18"/>
      <w:lang w:eastAsia="en-US"/>
    </w:rPr>
  </w:style>
  <w:style w:type="character" w:customStyle="1" w:styleId="33">
    <w:name w:val="批注文字 Char"/>
    <w:basedOn w:val="26"/>
    <w:link w:val="10"/>
    <w:qFormat/>
    <w:uiPriority w:val="0"/>
    <w:rPr>
      <w:rFonts w:ascii="Arial" w:hAnsi="Arial" w:eastAsia="Arial" w:cs="Arial"/>
      <w:snapToGrid w:val="0"/>
      <w:color w:val="000000"/>
      <w:sz w:val="21"/>
      <w:szCs w:val="21"/>
      <w:lang w:eastAsia="en-US"/>
    </w:rPr>
  </w:style>
  <w:style w:type="character" w:customStyle="1" w:styleId="34">
    <w:name w:val="批注主题 Char"/>
    <w:basedOn w:val="33"/>
    <w:link w:val="9"/>
    <w:qFormat/>
    <w:uiPriority w:val="0"/>
    <w:rPr>
      <w:rFonts w:ascii="Arial" w:hAnsi="Arial" w:eastAsia="Arial" w:cs="Arial"/>
      <w:b/>
      <w:bCs/>
      <w:snapToGrid w:val="0"/>
      <w:color w:val="000000"/>
      <w:sz w:val="21"/>
      <w:szCs w:val="21"/>
      <w:lang w:eastAsia="en-US"/>
    </w:rPr>
  </w:style>
  <w:style w:type="character" w:customStyle="1" w:styleId="35">
    <w:name w:val="标题 2 Char"/>
    <w:basedOn w:val="26"/>
    <w:link w:val="7"/>
    <w:qFormat/>
    <w:uiPriority w:val="0"/>
    <w:rPr>
      <w:b/>
      <w:bCs/>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DD4005-930A-41FF-99DC-CE528AE091B1}">
  <ds:schemaRefs/>
</ds:datastoreItem>
</file>

<file path=docProps/app.xml><?xml version="1.0" encoding="utf-8"?>
<Properties xmlns="http://schemas.openxmlformats.org/officeDocument/2006/extended-properties" xmlns:vt="http://schemas.openxmlformats.org/officeDocument/2006/docPropsVTypes">
  <Template>Normal</Template>
  <Pages>78</Pages>
  <Words>7372</Words>
  <Characters>42023</Characters>
  <Lines>350</Lines>
  <Paragraphs>98</Paragraphs>
  <TotalTime>3</TotalTime>
  <ScaleCrop>false</ScaleCrop>
  <LinksUpToDate>false</LinksUpToDate>
  <CharactersWithSpaces>49297</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2024-12-20T16:50:00Z</dcterms:created>
  <dc:creator>袁静</dc:creator>
  <cp:lastModifiedBy>Pluto</cp:lastModifiedBy>
  <cp:lastPrinted>2025-04-23T05:49:00Z</cp:lastPrinted>
  <dcterms:modified xsi:type="dcterms:W3CDTF">2025-10-10T08:27:39Z</dcterms:modified>
  <dc:title>中华人民共和国</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2025-02-13T10:08:21Z</vt:filetime>
  </property>
  <property fmtid="{D5CDD505-2E9C-101B-9397-08002B2CF9AE}" pid="4" name="KSOTemplateDocerSaveRecord">
    <vt:lpwstr>eyJoZGlkIjoiOTVmNWU2NzIyM2E1NDNkZDViYjI5MDcxZTZkODc2NjIiLCJ1c2VySWQiOiIyNDc0NzExNTAifQ==</vt:lpwstr>
  </property>
  <property fmtid="{D5CDD505-2E9C-101B-9397-08002B2CF9AE}" pid="5" name="KSOProductBuildVer">
    <vt:lpwstr>2052-10.8.2.6543</vt:lpwstr>
  </property>
  <property fmtid="{D5CDD505-2E9C-101B-9397-08002B2CF9AE}" pid="6" name="ICV">
    <vt:lpwstr>D3B7EC3C5ADB45A7A084494D16DD5744_13</vt:lpwstr>
  </property>
</Properties>
</file>