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ind w:right="57"/>
        <w:jc w:val="center"/>
        <w:rPr>
          <w:rFonts w:ascii="Times New Roman" w:hAnsi="Times New Roman" w:eastAsia="宋体" w:cs="Times New Roman"/>
          <w:lang w:eastAsia="zh-CN"/>
        </w:rPr>
      </w:pPr>
      <w:bookmarkStart w:id="0" w:name="_Toc65848087"/>
      <w:bookmarkStart w:id="1" w:name="_Toc25808"/>
      <w:r>
        <w:rPr>
          <w:rFonts w:ascii="Times New Roman" w:hAnsi="Times New Roman" w:eastAsia="宋体" w:cs="Times New Roman"/>
          <w:lang w:eastAsia="zh-CN"/>
        </w:rPr>
        <w:t>招标公告</w:t>
      </w:r>
      <w:bookmarkEnd w:id="0"/>
      <w:bookmarkEnd w:id="1"/>
    </w:p>
    <w:p>
      <w:pPr>
        <w:keepNext w:val="0"/>
        <w:keepLines w:val="0"/>
        <w:pageBreakBefore w:val="0"/>
        <w:widowControl w:val="0"/>
        <w:kinsoku/>
        <w:wordWrap/>
        <w:overflowPunct/>
        <w:topLinePunct w:val="0"/>
        <w:autoSpaceDE/>
        <w:autoSpaceDN/>
        <w:bidi w:val="0"/>
        <w:adjustRightInd/>
        <w:snapToGrid/>
        <w:spacing w:after="0" w:line="360" w:lineRule="auto"/>
        <w:jc w:val="center"/>
        <w:textAlignment w:val="auto"/>
        <w:outlineLvl w:val="9"/>
        <w:rPr>
          <w:rFonts w:cs="Times New Roman"/>
          <w:b/>
          <w:bCs/>
          <w:sz w:val="28"/>
          <w:szCs w:val="32"/>
          <w:lang w:eastAsia="zh-CN"/>
        </w:rPr>
      </w:pPr>
      <w:bookmarkStart w:id="2" w:name="_Hlk203482862"/>
      <w:bookmarkStart w:id="3" w:name="_Toc65848088"/>
      <w:r>
        <w:rPr>
          <w:rFonts w:cs="Times New Roman"/>
          <w:sz w:val="28"/>
          <w:szCs w:val="28"/>
          <w:lang w:eastAsia="zh-CN"/>
        </w:rPr>
        <w:t>中色卢安夏铜业有限公司</w:t>
      </w:r>
      <w:bookmarkEnd w:id="2"/>
      <w:r>
        <w:rPr>
          <w:rFonts w:hint="eastAsia" w:cs="Times New Roman"/>
          <w:sz w:val="28"/>
          <w:szCs w:val="28"/>
          <w:lang w:eastAsia="zh-CN"/>
        </w:rPr>
        <w:t>安全培训中心项目</w:t>
      </w:r>
      <w:r>
        <w:rPr>
          <w:rFonts w:cs="Times New Roman"/>
          <w:sz w:val="28"/>
          <w:szCs w:val="28"/>
          <w:lang w:eastAsia="zh-CN"/>
        </w:rPr>
        <w:t>招标公告</w:t>
      </w:r>
    </w:p>
    <w:p>
      <w:pPr>
        <w:pStyle w:val="3"/>
        <w:spacing w:line="360" w:lineRule="auto"/>
        <w:ind w:left="0" w:right="0" w:firstLine="482" w:firstLineChars="200"/>
        <w:jc w:val="both"/>
        <w:rPr>
          <w:rFonts w:ascii="Times New Roman" w:hAnsi="Times New Roman" w:cs="Times New Roman"/>
          <w:szCs w:val="24"/>
          <w:lang w:eastAsia="zh-CN"/>
        </w:rPr>
      </w:pPr>
      <w:bookmarkStart w:id="4" w:name="_Toc18325"/>
      <w:r>
        <w:rPr>
          <w:rFonts w:ascii="Times New Roman" w:hAnsi="Times New Roman" w:cs="Times New Roman"/>
          <w:szCs w:val="24"/>
          <w:lang w:eastAsia="zh-CN"/>
        </w:rPr>
        <w:t>1.招标条件</w:t>
      </w:r>
      <w:bookmarkEnd w:id="3"/>
      <w:bookmarkEnd w:id="4"/>
    </w:p>
    <w:p>
      <w:pPr>
        <w:pStyle w:val="11"/>
        <w:tabs>
          <w:tab w:val="left" w:pos="2388"/>
          <w:tab w:val="left" w:pos="2832"/>
          <w:tab w:val="left" w:pos="3472"/>
          <w:tab w:val="left" w:pos="6667"/>
          <w:tab w:val="left" w:pos="7270"/>
        </w:tabs>
        <w:spacing w:line="360" w:lineRule="auto"/>
        <w:ind w:firstLine="480" w:firstLineChars="200"/>
        <w:jc w:val="both"/>
        <w:rPr>
          <w:rFonts w:cs="Times New Roman"/>
          <w:sz w:val="24"/>
          <w:szCs w:val="24"/>
          <w:lang w:eastAsia="zh-CN"/>
        </w:rPr>
      </w:pPr>
      <w:r>
        <w:rPr>
          <w:rFonts w:cs="Times New Roman"/>
          <w:sz w:val="24"/>
          <w:szCs w:val="24"/>
          <w:lang w:eastAsia="zh-CN"/>
        </w:rPr>
        <w:t>本招标项目</w:t>
      </w:r>
      <w:bookmarkStart w:id="5" w:name="_Hlk203482883"/>
      <w:r>
        <w:rPr>
          <w:rFonts w:cs="Times New Roman"/>
          <w:sz w:val="24"/>
          <w:szCs w:val="24"/>
          <w:u w:val="single"/>
          <w:lang w:eastAsia="zh-CN"/>
        </w:rPr>
        <w:t>中色卢安夏铜业有限公司</w:t>
      </w:r>
      <w:bookmarkEnd w:id="5"/>
      <w:r>
        <w:rPr>
          <w:rFonts w:hint="eastAsia" w:cs="Times New Roman"/>
          <w:sz w:val="24"/>
          <w:szCs w:val="24"/>
          <w:u w:val="single"/>
          <w:lang w:eastAsia="zh-CN"/>
        </w:rPr>
        <w:t>安全培训中心项目</w:t>
      </w:r>
      <w:r>
        <w:rPr>
          <w:rFonts w:cs="Times New Roman"/>
          <w:sz w:val="24"/>
          <w:szCs w:val="24"/>
          <w:lang w:eastAsia="zh-CN"/>
        </w:rPr>
        <w:t>，招标人为</w:t>
      </w:r>
      <w:r>
        <w:rPr>
          <w:rFonts w:cs="Times New Roman"/>
          <w:sz w:val="24"/>
          <w:szCs w:val="24"/>
          <w:u w:val="single"/>
          <w:lang w:eastAsia="zh-CN"/>
        </w:rPr>
        <w:t>中色卢安夏铜业有限公司</w:t>
      </w:r>
      <w:r>
        <w:rPr>
          <w:rFonts w:cs="Times New Roman"/>
          <w:spacing w:val="-1"/>
          <w:sz w:val="24"/>
          <w:szCs w:val="24"/>
          <w:lang w:eastAsia="zh-CN"/>
        </w:rPr>
        <w:t>，</w:t>
      </w:r>
      <w:r>
        <w:rPr>
          <w:rFonts w:hint="eastAsia" w:cs="Times New Roman"/>
          <w:spacing w:val="-1"/>
          <w:sz w:val="24"/>
          <w:szCs w:val="24"/>
          <w:lang w:eastAsia="zh-CN"/>
        </w:rPr>
        <w:t>招标代理机构为</w:t>
      </w:r>
      <w:r>
        <w:rPr>
          <w:rFonts w:hint="eastAsia" w:cs="Times New Roman"/>
          <w:spacing w:val="-1"/>
          <w:sz w:val="24"/>
          <w:szCs w:val="24"/>
          <w:u w:val="single"/>
          <w:lang w:eastAsia="zh-CN"/>
        </w:rPr>
        <w:t>中色国际贸易有限公司</w:t>
      </w:r>
      <w:r>
        <w:rPr>
          <w:rFonts w:hint="eastAsia" w:cs="Times New Roman"/>
          <w:spacing w:val="-1"/>
          <w:sz w:val="24"/>
          <w:szCs w:val="24"/>
          <w:lang w:eastAsia="zh-CN"/>
        </w:rPr>
        <w:t>。</w:t>
      </w:r>
      <w:r>
        <w:rPr>
          <w:rFonts w:cs="Times New Roman"/>
          <w:spacing w:val="-1"/>
          <w:sz w:val="24"/>
          <w:szCs w:val="24"/>
          <w:lang w:eastAsia="zh-CN"/>
        </w:rPr>
        <w:t>招标项目资金</w:t>
      </w:r>
      <w:r>
        <w:rPr>
          <w:rFonts w:cs="Times New Roman"/>
          <w:sz w:val="24"/>
          <w:szCs w:val="24"/>
          <w:lang w:eastAsia="zh-CN"/>
        </w:rPr>
        <w:t>来</w:t>
      </w:r>
      <w:r>
        <w:rPr>
          <w:rFonts w:cs="Times New Roman"/>
          <w:spacing w:val="-1"/>
          <w:sz w:val="24"/>
          <w:szCs w:val="24"/>
          <w:lang w:eastAsia="zh-CN"/>
        </w:rPr>
        <w:t>自</w:t>
      </w:r>
      <w:r>
        <w:rPr>
          <w:rFonts w:cs="Times New Roman"/>
          <w:sz w:val="24"/>
          <w:szCs w:val="24"/>
          <w:lang w:eastAsia="zh-CN"/>
        </w:rPr>
        <w:t>自筹</w:t>
      </w:r>
      <w:r>
        <w:rPr>
          <w:rFonts w:cs="Times New Roman"/>
          <w:spacing w:val="-27"/>
          <w:sz w:val="24"/>
          <w:szCs w:val="24"/>
          <w:lang w:eastAsia="zh-CN"/>
        </w:rPr>
        <w:t>，</w:t>
      </w:r>
      <w:r>
        <w:rPr>
          <w:rFonts w:cs="Times New Roman"/>
          <w:sz w:val="24"/>
          <w:szCs w:val="24"/>
          <w:lang w:eastAsia="zh-CN"/>
        </w:rPr>
        <w:t>出</w:t>
      </w:r>
      <w:r>
        <w:rPr>
          <w:rFonts w:cs="Times New Roman"/>
          <w:spacing w:val="-3"/>
          <w:sz w:val="24"/>
          <w:szCs w:val="24"/>
          <w:lang w:eastAsia="zh-CN"/>
        </w:rPr>
        <w:t>资</w:t>
      </w:r>
      <w:r>
        <w:rPr>
          <w:rFonts w:cs="Times New Roman"/>
          <w:sz w:val="24"/>
          <w:szCs w:val="24"/>
          <w:lang w:eastAsia="zh-CN"/>
        </w:rPr>
        <w:t>比</w:t>
      </w:r>
      <w:r>
        <w:rPr>
          <w:rFonts w:cs="Times New Roman"/>
          <w:spacing w:val="-3"/>
          <w:sz w:val="24"/>
          <w:szCs w:val="24"/>
          <w:lang w:eastAsia="zh-CN"/>
        </w:rPr>
        <w:t>例为</w:t>
      </w:r>
      <w:r>
        <w:rPr>
          <w:rFonts w:cs="Times New Roman"/>
          <w:sz w:val="24"/>
          <w:szCs w:val="24"/>
          <w:lang w:eastAsia="zh-CN"/>
        </w:rPr>
        <w:t>100%</w:t>
      </w:r>
      <w:r>
        <w:rPr>
          <w:rFonts w:cs="Times New Roman"/>
          <w:spacing w:val="-27"/>
          <w:sz w:val="24"/>
          <w:szCs w:val="24"/>
          <w:lang w:eastAsia="zh-CN"/>
        </w:rPr>
        <w:t>。</w:t>
      </w:r>
      <w:r>
        <w:rPr>
          <w:rFonts w:cs="Times New Roman"/>
          <w:spacing w:val="-3"/>
          <w:sz w:val="24"/>
          <w:szCs w:val="24"/>
          <w:lang w:eastAsia="zh-CN"/>
        </w:rPr>
        <w:t>该</w:t>
      </w:r>
      <w:r>
        <w:rPr>
          <w:rFonts w:cs="Times New Roman"/>
          <w:sz w:val="24"/>
          <w:szCs w:val="24"/>
          <w:lang w:eastAsia="zh-CN"/>
        </w:rPr>
        <w:t>项目</w:t>
      </w:r>
      <w:r>
        <w:rPr>
          <w:rFonts w:cs="Times New Roman"/>
          <w:spacing w:val="-3"/>
          <w:sz w:val="24"/>
          <w:szCs w:val="24"/>
          <w:lang w:eastAsia="zh-CN"/>
        </w:rPr>
        <w:t>已</w:t>
      </w:r>
      <w:r>
        <w:rPr>
          <w:rFonts w:cs="Times New Roman"/>
          <w:sz w:val="24"/>
          <w:szCs w:val="24"/>
          <w:lang w:eastAsia="zh-CN"/>
        </w:rPr>
        <w:t>具</w:t>
      </w:r>
      <w:r>
        <w:rPr>
          <w:rFonts w:cs="Times New Roman"/>
          <w:spacing w:val="-3"/>
          <w:sz w:val="24"/>
          <w:szCs w:val="24"/>
          <w:lang w:eastAsia="zh-CN"/>
        </w:rPr>
        <w:t>备</w:t>
      </w:r>
      <w:r>
        <w:rPr>
          <w:rFonts w:cs="Times New Roman"/>
          <w:sz w:val="24"/>
          <w:szCs w:val="24"/>
          <w:lang w:eastAsia="zh-CN"/>
        </w:rPr>
        <w:t>招</w:t>
      </w:r>
      <w:r>
        <w:rPr>
          <w:rFonts w:cs="Times New Roman"/>
          <w:spacing w:val="-3"/>
          <w:sz w:val="24"/>
          <w:szCs w:val="24"/>
          <w:lang w:eastAsia="zh-CN"/>
        </w:rPr>
        <w:t>标</w:t>
      </w:r>
      <w:r>
        <w:rPr>
          <w:rFonts w:cs="Times New Roman"/>
          <w:sz w:val="24"/>
          <w:szCs w:val="24"/>
          <w:lang w:eastAsia="zh-CN"/>
        </w:rPr>
        <w:t>条件，现对</w:t>
      </w:r>
      <w:r>
        <w:rPr>
          <w:rFonts w:cs="Times New Roman"/>
          <w:sz w:val="24"/>
          <w:szCs w:val="24"/>
          <w:u w:val="single"/>
          <w:lang w:eastAsia="zh-CN"/>
        </w:rPr>
        <w:t>中色卢安夏铜业有限公司</w:t>
      </w:r>
      <w:r>
        <w:rPr>
          <w:rFonts w:hint="eastAsia" w:cs="Times New Roman"/>
          <w:sz w:val="24"/>
          <w:szCs w:val="24"/>
          <w:u w:val="single"/>
          <w:lang w:eastAsia="zh-CN"/>
        </w:rPr>
        <w:t>安全培训中心项目</w:t>
      </w:r>
      <w:r>
        <w:rPr>
          <w:rFonts w:cs="Times New Roman"/>
          <w:sz w:val="24"/>
          <w:szCs w:val="24"/>
          <w:lang w:eastAsia="zh-CN"/>
        </w:rPr>
        <w:t>进行公开招标（招标编号：</w:t>
      </w:r>
      <w:r>
        <w:rPr>
          <w:rFonts w:hint="eastAsia" w:cs="Times New Roman"/>
          <w:sz w:val="24"/>
          <w:szCs w:val="24"/>
          <w:lang w:eastAsia="zh-CN"/>
        </w:rPr>
        <w:t>CNIT2025-125</w:t>
      </w:r>
      <w:r>
        <w:rPr>
          <w:rFonts w:cs="Times New Roman"/>
          <w:sz w:val="24"/>
          <w:szCs w:val="24"/>
          <w:lang w:eastAsia="zh-CN"/>
        </w:rPr>
        <w:t>）。</w:t>
      </w:r>
    </w:p>
    <w:p>
      <w:pPr>
        <w:pStyle w:val="3"/>
        <w:numPr>
          <w:ilvl w:val="0"/>
          <w:numId w:val="2"/>
        </w:numPr>
        <w:spacing w:line="360" w:lineRule="auto"/>
        <w:ind w:left="0" w:right="0" w:firstLine="482" w:firstLineChars="200"/>
        <w:jc w:val="both"/>
        <w:rPr>
          <w:rFonts w:ascii="Times New Roman" w:hAnsi="Times New Roman" w:cs="Times New Roman"/>
          <w:szCs w:val="24"/>
          <w:lang w:eastAsia="zh-CN"/>
        </w:rPr>
      </w:pPr>
      <w:bookmarkStart w:id="6" w:name="_Toc65848089"/>
      <w:bookmarkStart w:id="7" w:name="_Toc17455"/>
      <w:r>
        <w:rPr>
          <w:rFonts w:ascii="Times New Roman" w:hAnsi="Times New Roman" w:cs="Times New Roman"/>
          <w:szCs w:val="24"/>
          <w:lang w:eastAsia="zh-CN"/>
        </w:rPr>
        <w:t>项目概况</w:t>
      </w:r>
      <w:bookmarkEnd w:id="6"/>
      <w:bookmarkEnd w:id="7"/>
    </w:p>
    <w:p>
      <w:pPr>
        <w:pStyle w:val="52"/>
        <w:ind w:firstLine="480"/>
        <w:jc w:val="both"/>
        <w:rPr>
          <w:lang w:eastAsia="zh-CN"/>
        </w:rPr>
      </w:pPr>
      <w:r>
        <w:rPr>
          <w:rFonts w:hint="eastAsia"/>
          <w:lang w:eastAsia="zh-CN"/>
        </w:rPr>
        <w:t>中色卢安夏公司井下开采区域于2025年下半年正式建设，未来复产需大量熟练技工，安全培训成为复产关键前提，同时由于矿山企业中的人员流动加快，人员的安全意识、人员素质得不到保障的问题，另外矿山的安全体系问题、矿山的安全培训工作的形式落后问题等都对矿山企业安全管理工作造成了一定的影响。本次项目通过建设安全虚拟实训中心，以虚拟仿真、三维动画与信息化平台的形式，建设内容包含生产工艺认知培训、安全须知培训、安全事故警示教育实训、设备操作虚拟实训、虚拟实训管理平台、安全集训区建设、爆破证区域建设、模拟巷道认知培训与安全虚拟实训中心场地规划，开启易于接受、易于理解的培训新模式，有效提高员工安全意识及设备操作技能，提升安全培训整体质量与效率。</w:t>
      </w:r>
    </w:p>
    <w:p>
      <w:pPr>
        <w:pStyle w:val="3"/>
        <w:spacing w:line="360" w:lineRule="auto"/>
        <w:ind w:left="0" w:right="0" w:firstLine="482" w:firstLineChars="200"/>
        <w:jc w:val="both"/>
        <w:rPr>
          <w:rFonts w:ascii="Times New Roman" w:hAnsi="Times New Roman" w:cs="Times New Roman"/>
          <w:szCs w:val="24"/>
          <w:lang w:eastAsia="zh-CN"/>
        </w:rPr>
      </w:pPr>
      <w:bookmarkStart w:id="8" w:name="_Toc65848090"/>
      <w:bookmarkStart w:id="9" w:name="_Toc4626"/>
      <w:r>
        <w:rPr>
          <w:rFonts w:ascii="Times New Roman" w:hAnsi="Times New Roman" w:cs="Times New Roman"/>
          <w:szCs w:val="24"/>
          <w:lang w:eastAsia="zh-CN"/>
        </w:rPr>
        <w:t>3.招标范围</w:t>
      </w:r>
      <w:bookmarkEnd w:id="8"/>
      <w:bookmarkEnd w:id="9"/>
    </w:p>
    <w:p>
      <w:pPr>
        <w:spacing w:line="360" w:lineRule="auto"/>
        <w:ind w:firstLine="480" w:firstLineChars="200"/>
        <w:rPr>
          <w:rFonts w:cs="Times New Roman"/>
          <w:sz w:val="24"/>
          <w:szCs w:val="24"/>
          <w:lang w:eastAsia="zh-CN"/>
        </w:rPr>
      </w:pPr>
      <w:r>
        <w:rPr>
          <w:rFonts w:cs="Times New Roman"/>
          <w:sz w:val="24"/>
          <w:szCs w:val="24"/>
          <w:lang w:eastAsia="zh-CN"/>
        </w:rPr>
        <w:t>3.1服务范围</w:t>
      </w:r>
    </w:p>
    <w:tbl>
      <w:tblPr>
        <w:tblStyle w:val="35"/>
        <w:tblW w:w="97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
        <w:gridCol w:w="2285"/>
        <w:gridCol w:w="4726"/>
        <w:gridCol w:w="964"/>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910"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cs="Times New Roman"/>
                <w:b/>
                <w:bCs/>
                <w:sz w:val="21"/>
                <w:szCs w:val="21"/>
              </w:rPr>
            </w:pPr>
            <w:r>
              <w:rPr>
                <w:rFonts w:cs="Times New Roman"/>
                <w:b/>
                <w:bCs/>
                <w:sz w:val="21"/>
                <w:szCs w:val="21"/>
              </w:rPr>
              <w:t>序号</w:t>
            </w:r>
          </w:p>
        </w:tc>
        <w:tc>
          <w:tcPr>
            <w:tcW w:w="2285"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cs="Times New Roman"/>
                <w:b/>
                <w:bCs/>
                <w:sz w:val="21"/>
                <w:szCs w:val="21"/>
              </w:rPr>
            </w:pPr>
            <w:r>
              <w:rPr>
                <w:rFonts w:cs="Times New Roman"/>
                <w:b/>
                <w:bCs/>
                <w:sz w:val="21"/>
                <w:szCs w:val="21"/>
              </w:rPr>
              <w:t>建设项目</w:t>
            </w:r>
          </w:p>
        </w:tc>
        <w:tc>
          <w:tcPr>
            <w:tcW w:w="4726"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cs="Times New Roman"/>
                <w:b/>
                <w:bCs/>
                <w:sz w:val="21"/>
                <w:szCs w:val="21"/>
              </w:rPr>
            </w:pPr>
            <w:r>
              <w:rPr>
                <w:rFonts w:cs="Times New Roman"/>
                <w:b/>
                <w:bCs/>
                <w:sz w:val="21"/>
                <w:szCs w:val="21"/>
              </w:rPr>
              <w:t>建设分项</w:t>
            </w:r>
          </w:p>
        </w:tc>
        <w:tc>
          <w:tcPr>
            <w:tcW w:w="964"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cs="Times New Roman"/>
                <w:b/>
                <w:bCs/>
                <w:sz w:val="21"/>
                <w:szCs w:val="21"/>
              </w:rPr>
            </w:pPr>
            <w:r>
              <w:rPr>
                <w:rFonts w:cs="Times New Roman"/>
                <w:b/>
                <w:bCs/>
                <w:sz w:val="21"/>
                <w:szCs w:val="21"/>
              </w:rPr>
              <w:t>数量</w:t>
            </w: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cs="Times New Roman"/>
                <w:b/>
                <w:bCs/>
                <w:sz w:val="21"/>
                <w:szCs w:val="21"/>
              </w:rPr>
            </w:pPr>
            <w:r>
              <w:rPr>
                <w:rFonts w:cs="Times New Roman"/>
                <w:b/>
                <w:bCs/>
                <w:sz w:val="21"/>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910"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cs="Times New Roman"/>
                <w:b/>
                <w:bCs/>
                <w:sz w:val="21"/>
                <w:szCs w:val="21"/>
              </w:rPr>
            </w:pPr>
            <w:r>
              <w:rPr>
                <w:rFonts w:cs="Times New Roman"/>
                <w:b/>
                <w:bCs/>
                <w:sz w:val="21"/>
                <w:szCs w:val="21"/>
              </w:rPr>
              <w:t>1</w:t>
            </w:r>
          </w:p>
        </w:tc>
        <w:tc>
          <w:tcPr>
            <w:tcW w:w="2285" w:type="dxa"/>
            <w:vMerge w:val="restart"/>
            <w:tcBorders>
              <w:top w:val="single" w:color="000000" w:sz="2" w:space="0"/>
              <w:left w:val="single" w:color="000000" w:sz="2" w:space="0"/>
              <w:right w:val="single" w:color="000000" w:sz="2" w:space="0"/>
            </w:tcBorders>
            <w:vAlign w:val="center"/>
          </w:tcPr>
          <w:p>
            <w:pPr>
              <w:spacing w:line="360" w:lineRule="auto"/>
              <w:jc w:val="center"/>
              <w:rPr>
                <w:rFonts w:cs="Times New Roman"/>
                <w:sz w:val="21"/>
                <w:szCs w:val="21"/>
              </w:rPr>
            </w:pPr>
            <w:r>
              <w:rPr>
                <w:rFonts w:cs="Times New Roman"/>
                <w:sz w:val="21"/>
                <w:szCs w:val="21"/>
              </w:rPr>
              <w:t>安全生产培训视频</w:t>
            </w:r>
          </w:p>
        </w:tc>
        <w:tc>
          <w:tcPr>
            <w:tcW w:w="4726" w:type="dxa"/>
            <w:tcBorders>
              <w:top w:val="single" w:color="000000" w:sz="2" w:space="0"/>
              <w:left w:val="single" w:color="000000" w:sz="2" w:space="0"/>
              <w:bottom w:val="single" w:color="000000" w:sz="2" w:space="0"/>
              <w:right w:val="single" w:color="000000" w:sz="2" w:space="0"/>
            </w:tcBorders>
            <w:vAlign w:val="center"/>
          </w:tcPr>
          <w:p>
            <w:pPr>
              <w:spacing w:line="360" w:lineRule="auto"/>
              <w:jc w:val="both"/>
              <w:rPr>
                <w:rFonts w:cs="Times New Roman"/>
                <w:sz w:val="21"/>
                <w:szCs w:val="21"/>
              </w:rPr>
            </w:pPr>
            <w:r>
              <w:rPr>
                <w:rFonts w:cs="Times New Roman"/>
                <w:sz w:val="21"/>
                <w:szCs w:val="21"/>
              </w:rPr>
              <w:t>生产工艺认知视频</w:t>
            </w:r>
          </w:p>
        </w:tc>
        <w:tc>
          <w:tcPr>
            <w:tcW w:w="964"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cs="Times New Roman"/>
                <w:sz w:val="21"/>
                <w:szCs w:val="21"/>
              </w:rPr>
            </w:pPr>
            <w:r>
              <w:rPr>
                <w:rFonts w:cs="Times New Roman"/>
                <w:sz w:val="21"/>
                <w:szCs w:val="21"/>
              </w:rPr>
              <w:t>1</w:t>
            </w: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cs="Times New Roman"/>
                <w:sz w:val="21"/>
                <w:szCs w:val="21"/>
              </w:rPr>
            </w:pPr>
            <w:r>
              <w:rPr>
                <w:rFonts w:cs="Times New Roman"/>
                <w:sz w:val="21"/>
                <w:szCs w:val="21"/>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910" w:type="dxa"/>
            <w:tcBorders>
              <w:top w:val="single" w:color="000000" w:sz="2" w:space="0"/>
              <w:left w:val="single" w:color="000000" w:sz="2" w:space="0"/>
              <w:right w:val="single" w:color="000000" w:sz="2" w:space="0"/>
            </w:tcBorders>
            <w:vAlign w:val="center"/>
          </w:tcPr>
          <w:p>
            <w:pPr>
              <w:spacing w:line="360" w:lineRule="auto"/>
              <w:jc w:val="center"/>
              <w:rPr>
                <w:rFonts w:cs="Times New Roman"/>
                <w:b/>
                <w:bCs/>
                <w:sz w:val="21"/>
                <w:szCs w:val="21"/>
              </w:rPr>
            </w:pPr>
            <w:r>
              <w:rPr>
                <w:rFonts w:cs="Times New Roman"/>
                <w:b/>
                <w:bCs/>
                <w:sz w:val="21"/>
                <w:szCs w:val="21"/>
              </w:rPr>
              <w:t>2</w:t>
            </w:r>
          </w:p>
        </w:tc>
        <w:tc>
          <w:tcPr>
            <w:tcW w:w="2285" w:type="dxa"/>
            <w:vMerge w:val="continue"/>
            <w:tcBorders>
              <w:left w:val="single" w:color="000000" w:sz="2" w:space="0"/>
              <w:right w:val="single" w:color="000000" w:sz="2" w:space="0"/>
            </w:tcBorders>
            <w:vAlign w:val="center"/>
          </w:tcPr>
          <w:p>
            <w:pPr>
              <w:spacing w:line="360" w:lineRule="auto"/>
              <w:jc w:val="center"/>
              <w:rPr>
                <w:rFonts w:cs="Times New Roman"/>
                <w:sz w:val="21"/>
                <w:szCs w:val="21"/>
              </w:rPr>
            </w:pPr>
          </w:p>
        </w:tc>
        <w:tc>
          <w:tcPr>
            <w:tcW w:w="4726" w:type="dxa"/>
            <w:tcBorders>
              <w:top w:val="single" w:color="000000" w:sz="2" w:space="0"/>
              <w:left w:val="single" w:color="000000" w:sz="2" w:space="0"/>
              <w:right w:val="single" w:color="000000" w:sz="2" w:space="0"/>
            </w:tcBorders>
            <w:vAlign w:val="center"/>
          </w:tcPr>
          <w:p>
            <w:pPr>
              <w:spacing w:line="360" w:lineRule="auto"/>
              <w:jc w:val="both"/>
              <w:rPr>
                <w:rFonts w:cs="Times New Roman"/>
                <w:sz w:val="21"/>
                <w:szCs w:val="21"/>
              </w:rPr>
            </w:pPr>
            <w:r>
              <w:rPr>
                <w:rFonts w:cs="Times New Roman"/>
                <w:sz w:val="21"/>
                <w:szCs w:val="21"/>
              </w:rPr>
              <w:t>安全须知培训视频</w:t>
            </w:r>
          </w:p>
        </w:tc>
        <w:tc>
          <w:tcPr>
            <w:tcW w:w="964" w:type="dxa"/>
            <w:tcBorders>
              <w:top w:val="single" w:color="000000" w:sz="2" w:space="0"/>
              <w:left w:val="single" w:color="000000" w:sz="2" w:space="0"/>
              <w:right w:val="single" w:color="000000" w:sz="2" w:space="0"/>
            </w:tcBorders>
            <w:vAlign w:val="center"/>
          </w:tcPr>
          <w:p>
            <w:pPr>
              <w:spacing w:line="360" w:lineRule="auto"/>
              <w:jc w:val="center"/>
              <w:rPr>
                <w:rFonts w:cs="Times New Roman"/>
                <w:sz w:val="21"/>
                <w:szCs w:val="21"/>
              </w:rPr>
            </w:pPr>
            <w:r>
              <w:rPr>
                <w:rFonts w:cs="Times New Roman"/>
                <w:sz w:val="21"/>
                <w:szCs w:val="21"/>
              </w:rPr>
              <w:t>1</w:t>
            </w: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cs="Times New Roman"/>
                <w:sz w:val="21"/>
                <w:szCs w:val="21"/>
              </w:rPr>
            </w:pPr>
            <w:r>
              <w:rPr>
                <w:rFonts w:cs="Times New Roman"/>
                <w:sz w:val="21"/>
                <w:szCs w:val="21"/>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910" w:type="dxa"/>
            <w:tcBorders>
              <w:top w:val="single" w:color="000000" w:sz="2" w:space="0"/>
              <w:left w:val="single" w:color="000000" w:sz="2" w:space="0"/>
              <w:right w:val="single" w:color="000000" w:sz="2" w:space="0"/>
            </w:tcBorders>
            <w:vAlign w:val="center"/>
          </w:tcPr>
          <w:p>
            <w:pPr>
              <w:spacing w:line="360" w:lineRule="auto"/>
              <w:jc w:val="center"/>
              <w:rPr>
                <w:rFonts w:cs="Times New Roman"/>
                <w:b/>
                <w:bCs/>
                <w:sz w:val="21"/>
                <w:szCs w:val="21"/>
              </w:rPr>
            </w:pPr>
            <w:r>
              <w:rPr>
                <w:rFonts w:cs="Times New Roman"/>
                <w:b/>
                <w:bCs/>
                <w:sz w:val="21"/>
                <w:szCs w:val="21"/>
              </w:rPr>
              <w:t>3</w:t>
            </w:r>
          </w:p>
        </w:tc>
        <w:tc>
          <w:tcPr>
            <w:tcW w:w="2285" w:type="dxa"/>
            <w:tcBorders>
              <w:top w:val="single" w:color="000000" w:sz="2" w:space="0"/>
              <w:left w:val="single" w:color="000000" w:sz="2" w:space="0"/>
              <w:right w:val="single" w:color="000000" w:sz="2" w:space="0"/>
            </w:tcBorders>
            <w:vAlign w:val="center"/>
          </w:tcPr>
          <w:p>
            <w:pPr>
              <w:spacing w:line="360" w:lineRule="auto"/>
              <w:jc w:val="center"/>
              <w:rPr>
                <w:rFonts w:cs="Times New Roman"/>
                <w:sz w:val="21"/>
                <w:szCs w:val="21"/>
              </w:rPr>
            </w:pPr>
            <w:r>
              <w:rPr>
                <w:rFonts w:cs="Times New Roman"/>
                <w:sz w:val="21"/>
                <w:szCs w:val="21"/>
              </w:rPr>
              <w:t>安全事故警示教育</w:t>
            </w:r>
          </w:p>
        </w:tc>
        <w:tc>
          <w:tcPr>
            <w:tcW w:w="4726" w:type="dxa"/>
            <w:tcBorders>
              <w:top w:val="single" w:color="000000" w:sz="2" w:space="0"/>
              <w:left w:val="single" w:color="000000" w:sz="2" w:space="0"/>
              <w:right w:val="single" w:color="000000" w:sz="2" w:space="0"/>
            </w:tcBorders>
            <w:vAlign w:val="center"/>
          </w:tcPr>
          <w:p>
            <w:pPr>
              <w:spacing w:line="360" w:lineRule="auto"/>
              <w:rPr>
                <w:rFonts w:cs="Times New Roman"/>
                <w:sz w:val="21"/>
                <w:szCs w:val="21"/>
                <w:lang w:eastAsia="zh-CN"/>
              </w:rPr>
            </w:pPr>
            <w:r>
              <w:rPr>
                <w:rFonts w:cs="Times New Roman"/>
                <w:sz w:val="21"/>
                <w:szCs w:val="21"/>
                <w:lang w:eastAsia="zh-CN"/>
              </w:rPr>
              <w:t>包含触电、冒顶片帮、机械伤害、车辆伤害、起重伤害、高处坠落、物体打击、水害、火灾、坍塌、爆破伤害、中毒和窒息共计12个事故警示教育系统及配套硬件</w:t>
            </w:r>
          </w:p>
        </w:tc>
        <w:tc>
          <w:tcPr>
            <w:tcW w:w="964" w:type="dxa"/>
            <w:tcBorders>
              <w:top w:val="single" w:color="000000" w:sz="2" w:space="0"/>
              <w:left w:val="single" w:color="000000" w:sz="2" w:space="0"/>
              <w:right w:val="single" w:color="000000" w:sz="2" w:space="0"/>
            </w:tcBorders>
            <w:vAlign w:val="center"/>
          </w:tcPr>
          <w:p>
            <w:pPr>
              <w:spacing w:line="360" w:lineRule="auto"/>
              <w:jc w:val="center"/>
              <w:rPr>
                <w:rFonts w:cs="Times New Roman"/>
                <w:sz w:val="21"/>
                <w:szCs w:val="21"/>
              </w:rPr>
            </w:pPr>
            <w:r>
              <w:rPr>
                <w:rFonts w:cs="Times New Roman"/>
                <w:sz w:val="21"/>
                <w:szCs w:val="21"/>
              </w:rPr>
              <w:t>1</w:t>
            </w: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cs="Times New Roman"/>
                <w:sz w:val="21"/>
                <w:szCs w:val="21"/>
              </w:rPr>
            </w:pPr>
            <w:r>
              <w:rPr>
                <w:rFonts w:cs="Times New Roman"/>
                <w:sz w:val="21"/>
                <w:szCs w:val="21"/>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910" w:type="dxa"/>
            <w:tcBorders>
              <w:top w:val="single" w:color="000000" w:sz="2" w:space="0"/>
              <w:left w:val="single" w:color="000000" w:sz="2" w:space="0"/>
              <w:right w:val="single" w:color="000000" w:sz="2" w:space="0"/>
            </w:tcBorders>
            <w:vAlign w:val="center"/>
          </w:tcPr>
          <w:p>
            <w:pPr>
              <w:spacing w:line="360" w:lineRule="auto"/>
              <w:jc w:val="center"/>
              <w:rPr>
                <w:rFonts w:cs="Times New Roman"/>
                <w:b/>
                <w:bCs/>
                <w:sz w:val="21"/>
                <w:szCs w:val="21"/>
              </w:rPr>
            </w:pPr>
            <w:r>
              <w:rPr>
                <w:rFonts w:cs="Times New Roman"/>
                <w:b/>
                <w:bCs/>
                <w:sz w:val="21"/>
                <w:szCs w:val="21"/>
              </w:rPr>
              <w:t>4</w:t>
            </w:r>
          </w:p>
        </w:tc>
        <w:tc>
          <w:tcPr>
            <w:tcW w:w="2285" w:type="dxa"/>
            <w:tcBorders>
              <w:top w:val="single" w:color="000000" w:sz="2" w:space="0"/>
              <w:left w:val="single" w:color="000000" w:sz="2" w:space="0"/>
              <w:right w:val="single" w:color="000000" w:sz="2" w:space="0"/>
            </w:tcBorders>
            <w:vAlign w:val="center"/>
          </w:tcPr>
          <w:p>
            <w:pPr>
              <w:spacing w:line="360" w:lineRule="auto"/>
              <w:jc w:val="center"/>
              <w:rPr>
                <w:rFonts w:cs="Times New Roman"/>
                <w:sz w:val="21"/>
                <w:szCs w:val="21"/>
              </w:rPr>
            </w:pPr>
            <w:r>
              <w:rPr>
                <w:rFonts w:cs="Times New Roman"/>
                <w:sz w:val="21"/>
                <w:szCs w:val="21"/>
              </w:rPr>
              <w:t>设备操作虚拟实训</w:t>
            </w:r>
          </w:p>
        </w:tc>
        <w:tc>
          <w:tcPr>
            <w:tcW w:w="4726" w:type="dxa"/>
            <w:tcBorders>
              <w:top w:val="single" w:color="000000" w:sz="2" w:space="0"/>
              <w:left w:val="single" w:color="000000" w:sz="2" w:space="0"/>
              <w:right w:val="single" w:color="000000" w:sz="2" w:space="0"/>
            </w:tcBorders>
            <w:vAlign w:val="center"/>
          </w:tcPr>
          <w:p>
            <w:pPr>
              <w:spacing w:line="360" w:lineRule="auto"/>
              <w:rPr>
                <w:rFonts w:cs="Times New Roman"/>
                <w:sz w:val="21"/>
                <w:szCs w:val="21"/>
                <w:lang w:eastAsia="zh-CN"/>
              </w:rPr>
            </w:pPr>
            <w:r>
              <w:rPr>
                <w:rFonts w:cs="Times New Roman"/>
                <w:sz w:val="21"/>
                <w:szCs w:val="21"/>
                <w:lang w:eastAsia="zh-CN"/>
              </w:rPr>
              <w:t>包含掘进台车、中深孔台车、锚杆台车、撬毛台车、凿岩台车、铲运机设备虚拟实训系统及配套硬件</w:t>
            </w:r>
          </w:p>
        </w:tc>
        <w:tc>
          <w:tcPr>
            <w:tcW w:w="964" w:type="dxa"/>
            <w:tcBorders>
              <w:top w:val="single" w:color="000000" w:sz="2" w:space="0"/>
              <w:left w:val="single" w:color="000000" w:sz="2" w:space="0"/>
              <w:right w:val="single" w:color="000000" w:sz="2" w:space="0"/>
            </w:tcBorders>
            <w:vAlign w:val="center"/>
          </w:tcPr>
          <w:p>
            <w:pPr>
              <w:spacing w:line="360" w:lineRule="auto"/>
              <w:jc w:val="center"/>
              <w:rPr>
                <w:rFonts w:cs="Times New Roman"/>
                <w:sz w:val="21"/>
                <w:szCs w:val="21"/>
              </w:rPr>
            </w:pPr>
            <w:r>
              <w:rPr>
                <w:rFonts w:cs="Times New Roman"/>
                <w:sz w:val="21"/>
                <w:szCs w:val="21"/>
              </w:rPr>
              <w:t>1</w:t>
            </w: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cs="Times New Roman"/>
                <w:sz w:val="21"/>
                <w:szCs w:val="21"/>
              </w:rPr>
            </w:pPr>
            <w:r>
              <w:rPr>
                <w:rFonts w:cs="Times New Roman"/>
                <w:sz w:val="21"/>
                <w:szCs w:val="21"/>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910"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cs="Times New Roman"/>
                <w:b/>
                <w:bCs/>
                <w:sz w:val="21"/>
                <w:szCs w:val="21"/>
              </w:rPr>
            </w:pPr>
            <w:r>
              <w:rPr>
                <w:rFonts w:cs="Times New Roman"/>
                <w:b/>
                <w:bCs/>
                <w:sz w:val="21"/>
                <w:szCs w:val="21"/>
              </w:rPr>
              <w:t>5</w:t>
            </w:r>
          </w:p>
        </w:tc>
        <w:tc>
          <w:tcPr>
            <w:tcW w:w="2285"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cs="Times New Roman"/>
                <w:sz w:val="21"/>
                <w:szCs w:val="21"/>
              </w:rPr>
            </w:pPr>
            <w:r>
              <w:rPr>
                <w:rFonts w:cs="Times New Roman"/>
                <w:sz w:val="21"/>
                <w:szCs w:val="21"/>
              </w:rPr>
              <w:t>虚拟实训管理平台</w:t>
            </w:r>
          </w:p>
        </w:tc>
        <w:tc>
          <w:tcPr>
            <w:tcW w:w="4726" w:type="dxa"/>
            <w:tcBorders>
              <w:top w:val="single" w:color="000000" w:sz="2" w:space="0"/>
              <w:left w:val="single" w:color="000000" w:sz="2" w:space="0"/>
              <w:bottom w:val="single" w:color="000000" w:sz="2" w:space="0"/>
              <w:right w:val="single" w:color="000000" w:sz="2" w:space="0"/>
            </w:tcBorders>
            <w:vAlign w:val="center"/>
          </w:tcPr>
          <w:p>
            <w:pPr>
              <w:spacing w:line="360" w:lineRule="auto"/>
              <w:rPr>
                <w:rFonts w:cs="Times New Roman"/>
                <w:sz w:val="21"/>
                <w:szCs w:val="21"/>
                <w:lang w:eastAsia="zh-CN"/>
              </w:rPr>
            </w:pPr>
            <w:r>
              <w:rPr>
                <w:rFonts w:cs="Times New Roman"/>
                <w:sz w:val="21"/>
                <w:szCs w:val="21"/>
                <w:lang w:eastAsia="zh-CN"/>
              </w:rPr>
              <w:t>平台包含档案管理、培训管理、考试管理、资源管理功能及配套硬件</w:t>
            </w:r>
          </w:p>
        </w:tc>
        <w:tc>
          <w:tcPr>
            <w:tcW w:w="964"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cs="Times New Roman"/>
                <w:sz w:val="21"/>
                <w:szCs w:val="21"/>
              </w:rPr>
            </w:pPr>
            <w:r>
              <w:rPr>
                <w:rFonts w:cs="Times New Roman"/>
                <w:sz w:val="21"/>
                <w:szCs w:val="21"/>
              </w:rPr>
              <w:t>1</w:t>
            </w: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cs="Times New Roman"/>
                <w:sz w:val="21"/>
                <w:szCs w:val="21"/>
              </w:rPr>
            </w:pPr>
            <w:r>
              <w:rPr>
                <w:rFonts w:cs="Times New Roman"/>
                <w:sz w:val="21"/>
                <w:szCs w:val="21"/>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910"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cs="Times New Roman"/>
                <w:b/>
                <w:bCs/>
                <w:sz w:val="21"/>
                <w:szCs w:val="21"/>
              </w:rPr>
            </w:pPr>
            <w:r>
              <w:rPr>
                <w:rFonts w:cs="Times New Roman"/>
                <w:b/>
                <w:bCs/>
                <w:sz w:val="21"/>
                <w:szCs w:val="21"/>
              </w:rPr>
              <w:t>6</w:t>
            </w:r>
          </w:p>
        </w:tc>
        <w:tc>
          <w:tcPr>
            <w:tcW w:w="2285"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cs="Times New Roman"/>
                <w:sz w:val="21"/>
                <w:szCs w:val="21"/>
              </w:rPr>
            </w:pPr>
            <w:r>
              <w:rPr>
                <w:rFonts w:cs="Times New Roman"/>
                <w:sz w:val="21"/>
                <w:szCs w:val="21"/>
              </w:rPr>
              <w:t>安全集训区建设</w:t>
            </w:r>
          </w:p>
        </w:tc>
        <w:tc>
          <w:tcPr>
            <w:tcW w:w="4726" w:type="dxa"/>
            <w:tcBorders>
              <w:top w:val="single" w:color="000000" w:sz="2" w:space="0"/>
              <w:left w:val="single" w:color="000000" w:sz="2" w:space="0"/>
              <w:bottom w:val="single" w:color="000000" w:sz="2" w:space="0"/>
              <w:right w:val="single" w:color="000000" w:sz="2" w:space="0"/>
            </w:tcBorders>
            <w:vAlign w:val="center"/>
          </w:tcPr>
          <w:p>
            <w:pPr>
              <w:spacing w:line="360" w:lineRule="auto"/>
              <w:rPr>
                <w:rFonts w:cs="Times New Roman"/>
                <w:sz w:val="21"/>
                <w:szCs w:val="21"/>
              </w:rPr>
            </w:pPr>
            <w:r>
              <w:rPr>
                <w:rFonts w:cs="Times New Roman"/>
                <w:sz w:val="21"/>
                <w:szCs w:val="21"/>
              </w:rPr>
              <w:t>满足40人集中培训需求</w:t>
            </w:r>
          </w:p>
        </w:tc>
        <w:tc>
          <w:tcPr>
            <w:tcW w:w="964"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cs="Times New Roman"/>
                <w:sz w:val="21"/>
                <w:szCs w:val="21"/>
              </w:rPr>
            </w:pPr>
            <w:r>
              <w:rPr>
                <w:rFonts w:cs="Times New Roman"/>
                <w:sz w:val="21"/>
                <w:szCs w:val="21"/>
              </w:rPr>
              <w:t>1</w:t>
            </w: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cs="Times New Roman"/>
                <w:sz w:val="21"/>
                <w:szCs w:val="21"/>
              </w:rPr>
            </w:pPr>
            <w:r>
              <w:rPr>
                <w:rFonts w:cs="Times New Roman"/>
                <w:sz w:val="21"/>
                <w:szCs w:val="21"/>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910"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cs="Times New Roman"/>
                <w:b/>
                <w:bCs/>
                <w:kern w:val="2"/>
                <w:sz w:val="21"/>
                <w:szCs w:val="21"/>
                <w:lang w:eastAsia="zh-CN"/>
              </w:rPr>
            </w:pPr>
            <w:r>
              <w:rPr>
                <w:rFonts w:cs="Times New Roman"/>
                <w:b/>
                <w:bCs/>
                <w:sz w:val="21"/>
                <w:szCs w:val="21"/>
              </w:rPr>
              <w:t>7</w:t>
            </w:r>
          </w:p>
        </w:tc>
        <w:tc>
          <w:tcPr>
            <w:tcW w:w="2285"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cs="Times New Roman"/>
                <w:sz w:val="21"/>
                <w:szCs w:val="21"/>
                <w:lang w:eastAsia="zh-CN"/>
              </w:rPr>
            </w:pPr>
            <w:r>
              <w:rPr>
                <w:rFonts w:cs="Times New Roman"/>
                <w:sz w:val="21"/>
                <w:szCs w:val="21"/>
                <w:lang w:eastAsia="zh-CN"/>
              </w:rPr>
              <w:t>爆破证区域建设</w:t>
            </w:r>
          </w:p>
        </w:tc>
        <w:tc>
          <w:tcPr>
            <w:tcW w:w="4726" w:type="dxa"/>
            <w:tcBorders>
              <w:top w:val="single" w:color="000000" w:sz="2" w:space="0"/>
              <w:left w:val="single" w:color="000000" w:sz="2" w:space="0"/>
              <w:bottom w:val="single" w:color="000000" w:sz="2" w:space="0"/>
              <w:right w:val="single" w:color="000000" w:sz="2" w:space="0"/>
            </w:tcBorders>
            <w:vAlign w:val="center"/>
          </w:tcPr>
          <w:p>
            <w:pPr>
              <w:spacing w:line="360" w:lineRule="auto"/>
              <w:rPr>
                <w:rFonts w:cs="Times New Roman"/>
                <w:sz w:val="21"/>
                <w:szCs w:val="21"/>
                <w:lang w:eastAsia="zh-CN"/>
              </w:rPr>
            </w:pPr>
            <w:r>
              <w:rPr>
                <w:rFonts w:cs="Times New Roman"/>
                <w:sz w:val="21"/>
                <w:szCs w:val="21"/>
                <w:lang w:eastAsia="zh-CN"/>
              </w:rPr>
              <w:t>根据卢安夏矿山开采的爆破类型进行爆破培训，通过仿真爆破工作面，培训整个爆破作业标准的检查和操作工作流程，让学员真实的学到爆破的各种行为规范和技术技能。</w:t>
            </w:r>
          </w:p>
        </w:tc>
        <w:tc>
          <w:tcPr>
            <w:tcW w:w="964"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cs="Times New Roman"/>
                <w:sz w:val="21"/>
                <w:szCs w:val="21"/>
                <w:lang w:eastAsia="zh-CN"/>
              </w:rPr>
            </w:pPr>
            <w:r>
              <w:rPr>
                <w:rFonts w:cs="Times New Roman"/>
                <w:sz w:val="21"/>
                <w:szCs w:val="21"/>
                <w:lang w:eastAsia="zh-CN"/>
              </w:rPr>
              <w:t>1</w:t>
            </w: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cs="Times New Roman"/>
                <w:sz w:val="21"/>
                <w:szCs w:val="21"/>
                <w:lang w:eastAsia="zh-CN"/>
              </w:rPr>
            </w:pPr>
            <w:r>
              <w:rPr>
                <w:rFonts w:cs="Times New Roman"/>
                <w:sz w:val="21"/>
                <w:szCs w:val="21"/>
                <w:lang w:eastAsia="zh-CN"/>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910"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cs="Times New Roman"/>
                <w:b/>
                <w:bCs/>
                <w:kern w:val="2"/>
                <w:sz w:val="21"/>
                <w:szCs w:val="21"/>
                <w:lang w:eastAsia="zh-CN"/>
              </w:rPr>
            </w:pPr>
            <w:r>
              <w:rPr>
                <w:rFonts w:cs="Times New Roman"/>
                <w:b/>
                <w:bCs/>
                <w:sz w:val="21"/>
                <w:szCs w:val="21"/>
              </w:rPr>
              <w:t>8</w:t>
            </w:r>
          </w:p>
        </w:tc>
        <w:tc>
          <w:tcPr>
            <w:tcW w:w="2285"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cs="Times New Roman"/>
                <w:kern w:val="2"/>
                <w:sz w:val="21"/>
                <w:szCs w:val="21"/>
                <w:lang w:eastAsia="zh-CN"/>
              </w:rPr>
            </w:pPr>
            <w:r>
              <w:rPr>
                <w:rFonts w:cs="Times New Roman"/>
                <w:sz w:val="21"/>
                <w:szCs w:val="21"/>
              </w:rPr>
              <w:t>模拟巷道建设</w:t>
            </w:r>
          </w:p>
        </w:tc>
        <w:tc>
          <w:tcPr>
            <w:tcW w:w="4726" w:type="dxa"/>
            <w:tcBorders>
              <w:top w:val="single" w:color="000000" w:sz="2" w:space="0"/>
              <w:left w:val="single" w:color="000000" w:sz="2" w:space="0"/>
              <w:bottom w:val="single" w:color="000000" w:sz="2" w:space="0"/>
              <w:right w:val="single" w:color="000000" w:sz="2" w:space="0"/>
            </w:tcBorders>
            <w:vAlign w:val="center"/>
          </w:tcPr>
          <w:p>
            <w:pPr>
              <w:spacing w:line="360" w:lineRule="auto"/>
              <w:rPr>
                <w:rFonts w:cs="Times New Roman"/>
                <w:kern w:val="2"/>
                <w:sz w:val="21"/>
                <w:szCs w:val="21"/>
                <w:lang w:eastAsia="zh-CN"/>
              </w:rPr>
            </w:pPr>
            <w:r>
              <w:rPr>
                <w:rFonts w:cs="Times New Roman"/>
                <w:sz w:val="21"/>
                <w:szCs w:val="21"/>
                <w:lang w:eastAsia="zh-CN"/>
              </w:rPr>
              <w:t>包括井下风水管路、锚杆、喷锚网、浮石、溜井、泄水井、井下幽暗环境等，还原井下真实巷道场景。</w:t>
            </w:r>
          </w:p>
        </w:tc>
        <w:tc>
          <w:tcPr>
            <w:tcW w:w="964"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cs="Times New Roman"/>
                <w:kern w:val="2"/>
                <w:sz w:val="21"/>
                <w:szCs w:val="21"/>
                <w:lang w:eastAsia="zh-CN"/>
              </w:rPr>
            </w:pPr>
            <w:r>
              <w:rPr>
                <w:rFonts w:cs="Times New Roman"/>
                <w:sz w:val="21"/>
                <w:szCs w:val="21"/>
              </w:rPr>
              <w:t>1</w:t>
            </w: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cs="Times New Roman"/>
                <w:kern w:val="2"/>
                <w:sz w:val="21"/>
                <w:szCs w:val="21"/>
                <w:lang w:eastAsia="zh-CN"/>
              </w:rPr>
            </w:pPr>
            <w:r>
              <w:rPr>
                <w:rFonts w:cs="Times New Roman"/>
                <w:sz w:val="21"/>
                <w:szCs w:val="21"/>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910"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cs="Times New Roman"/>
                <w:b/>
                <w:bCs/>
                <w:kern w:val="2"/>
                <w:sz w:val="21"/>
                <w:szCs w:val="21"/>
                <w:lang w:eastAsia="zh-CN"/>
              </w:rPr>
            </w:pPr>
            <w:r>
              <w:rPr>
                <w:rFonts w:cs="Times New Roman"/>
                <w:b/>
                <w:bCs/>
                <w:kern w:val="2"/>
                <w:sz w:val="21"/>
                <w:szCs w:val="21"/>
                <w:lang w:eastAsia="zh-CN"/>
              </w:rPr>
              <w:t>9</w:t>
            </w:r>
          </w:p>
        </w:tc>
        <w:tc>
          <w:tcPr>
            <w:tcW w:w="2285"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cs="Times New Roman"/>
                <w:kern w:val="2"/>
                <w:sz w:val="21"/>
                <w:szCs w:val="21"/>
                <w:lang w:eastAsia="zh-CN"/>
              </w:rPr>
            </w:pPr>
            <w:r>
              <w:rPr>
                <w:rFonts w:cs="Times New Roman"/>
                <w:sz w:val="21"/>
                <w:szCs w:val="21"/>
                <w:lang w:eastAsia="zh-CN"/>
              </w:rPr>
              <w:t>安全虚拟实训中心场地设计</w:t>
            </w:r>
          </w:p>
        </w:tc>
        <w:tc>
          <w:tcPr>
            <w:tcW w:w="4726" w:type="dxa"/>
            <w:tcBorders>
              <w:top w:val="single" w:color="000000" w:sz="2" w:space="0"/>
              <w:left w:val="single" w:color="000000" w:sz="2" w:space="0"/>
              <w:bottom w:val="single" w:color="000000" w:sz="2" w:space="0"/>
              <w:right w:val="single" w:color="000000" w:sz="2" w:space="0"/>
            </w:tcBorders>
            <w:vAlign w:val="center"/>
          </w:tcPr>
          <w:p>
            <w:pPr>
              <w:spacing w:line="360" w:lineRule="auto"/>
              <w:rPr>
                <w:rFonts w:cs="Times New Roman"/>
                <w:kern w:val="2"/>
                <w:sz w:val="21"/>
                <w:szCs w:val="21"/>
                <w:lang w:eastAsia="zh-CN"/>
              </w:rPr>
            </w:pPr>
            <w:r>
              <w:rPr>
                <w:rFonts w:cs="Times New Roman"/>
                <w:sz w:val="21"/>
                <w:szCs w:val="21"/>
                <w:lang w:eastAsia="zh-CN"/>
              </w:rPr>
              <w:t>平面设计、三维设计、安全文化设计</w:t>
            </w:r>
          </w:p>
        </w:tc>
        <w:tc>
          <w:tcPr>
            <w:tcW w:w="964"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cs="Times New Roman"/>
                <w:kern w:val="2"/>
                <w:sz w:val="21"/>
                <w:szCs w:val="21"/>
                <w:lang w:eastAsia="zh-CN"/>
              </w:rPr>
            </w:pPr>
            <w:r>
              <w:rPr>
                <w:rFonts w:cs="Times New Roman"/>
                <w:sz w:val="21"/>
                <w:szCs w:val="21"/>
              </w:rPr>
              <w:t>1</w:t>
            </w: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60" w:lineRule="auto"/>
              <w:jc w:val="center"/>
              <w:rPr>
                <w:rFonts w:cs="Times New Roman"/>
                <w:kern w:val="2"/>
                <w:sz w:val="21"/>
                <w:szCs w:val="21"/>
                <w:lang w:eastAsia="zh-CN"/>
              </w:rPr>
            </w:pPr>
            <w:r>
              <w:rPr>
                <w:rFonts w:cs="Times New Roman"/>
                <w:sz w:val="21"/>
                <w:szCs w:val="21"/>
              </w:rPr>
              <w:t>项</w:t>
            </w:r>
          </w:p>
        </w:tc>
      </w:tr>
    </w:tbl>
    <w:p>
      <w:pPr>
        <w:spacing w:line="360" w:lineRule="auto"/>
        <w:ind w:firstLine="480" w:firstLineChars="200"/>
        <w:jc w:val="both"/>
        <w:rPr>
          <w:rFonts w:cs="Times New Roman"/>
          <w:sz w:val="24"/>
          <w:szCs w:val="24"/>
          <w:lang w:eastAsia="zh-CN"/>
        </w:rPr>
      </w:pPr>
      <w:r>
        <w:rPr>
          <w:rFonts w:cs="Times New Roman"/>
          <w:sz w:val="24"/>
          <w:szCs w:val="24"/>
          <w:lang w:eastAsia="zh-CN"/>
        </w:rPr>
        <w:t xml:space="preserve">3.2 服务期限 </w:t>
      </w:r>
    </w:p>
    <w:p>
      <w:pPr>
        <w:pStyle w:val="42"/>
        <w:spacing w:line="360" w:lineRule="auto"/>
        <w:ind w:firstLine="480"/>
        <w:rPr>
          <w:rFonts w:ascii="Times New Roman" w:hAnsi="Times New Roman"/>
          <w:kern w:val="0"/>
          <w:sz w:val="24"/>
          <w:szCs w:val="24"/>
        </w:rPr>
      </w:pPr>
      <w:r>
        <w:rPr>
          <w:rFonts w:ascii="Times New Roman" w:hAnsi="Times New Roman"/>
          <w:sz w:val="24"/>
          <w:szCs w:val="24"/>
        </w:rPr>
        <w:t>项目服务期自合同签订之日起，</w:t>
      </w:r>
      <w:bookmarkStart w:id="10" w:name="OLE_LINK10"/>
      <w:r>
        <w:rPr>
          <w:rFonts w:ascii="Times New Roman" w:hAnsi="Times New Roman"/>
          <w:kern w:val="0"/>
          <w:sz w:val="24"/>
          <w:szCs w:val="24"/>
        </w:rPr>
        <w:t>自合同签订8个月内应完成相关内容。</w:t>
      </w:r>
      <w:bookmarkEnd w:id="10"/>
    </w:p>
    <w:p>
      <w:pPr>
        <w:pStyle w:val="42"/>
        <w:spacing w:line="360" w:lineRule="auto"/>
        <w:ind w:firstLine="480"/>
        <w:rPr>
          <w:rFonts w:ascii="Times New Roman" w:hAnsi="Times New Roman"/>
          <w:kern w:val="0"/>
          <w:sz w:val="24"/>
          <w:szCs w:val="24"/>
        </w:rPr>
      </w:pPr>
      <w:r>
        <w:rPr>
          <w:rFonts w:ascii="Times New Roman" w:hAnsi="Times New Roman"/>
          <w:kern w:val="0"/>
          <w:sz w:val="24"/>
          <w:szCs w:val="24"/>
        </w:rPr>
        <w:t>3.3 服务要求</w:t>
      </w:r>
    </w:p>
    <w:p>
      <w:pPr>
        <w:pStyle w:val="42"/>
        <w:spacing w:line="360" w:lineRule="auto"/>
        <w:ind w:firstLine="480"/>
        <w:rPr>
          <w:rFonts w:ascii="Times New Roman" w:hAnsi="Times New Roman"/>
          <w:kern w:val="0"/>
          <w:sz w:val="24"/>
          <w:szCs w:val="24"/>
        </w:rPr>
      </w:pPr>
      <w:r>
        <w:rPr>
          <w:rFonts w:ascii="Times New Roman" w:hAnsi="Times New Roman"/>
          <w:kern w:val="0"/>
          <w:sz w:val="24"/>
          <w:szCs w:val="24"/>
        </w:rPr>
        <w:t>详细要求详见本招标文件第六章服务要求。</w:t>
      </w:r>
    </w:p>
    <w:p>
      <w:pPr>
        <w:pStyle w:val="3"/>
        <w:spacing w:line="360" w:lineRule="auto"/>
        <w:ind w:left="0" w:right="0" w:firstLine="482" w:firstLineChars="200"/>
        <w:jc w:val="both"/>
        <w:rPr>
          <w:rFonts w:ascii="Times New Roman" w:hAnsi="Times New Roman" w:cs="Times New Roman"/>
          <w:szCs w:val="24"/>
          <w:lang w:eastAsia="zh-CN"/>
        </w:rPr>
      </w:pPr>
      <w:bookmarkStart w:id="11" w:name="_Toc1539"/>
      <w:bookmarkStart w:id="12" w:name="_Toc65848091"/>
      <w:r>
        <w:rPr>
          <w:rFonts w:ascii="Times New Roman" w:hAnsi="Times New Roman" w:cs="Times New Roman"/>
          <w:szCs w:val="24"/>
          <w:lang w:eastAsia="zh-CN"/>
        </w:rPr>
        <w:t>4.投标人资格要求</w:t>
      </w:r>
      <w:bookmarkEnd w:id="11"/>
      <w:bookmarkEnd w:id="12"/>
    </w:p>
    <w:p>
      <w:pPr>
        <w:pStyle w:val="11"/>
        <w:tabs>
          <w:tab w:val="left" w:pos="4394"/>
          <w:tab w:val="left" w:pos="5990"/>
        </w:tabs>
        <w:spacing w:line="360" w:lineRule="auto"/>
        <w:ind w:firstLine="480" w:firstLineChars="200"/>
        <w:jc w:val="both"/>
        <w:rPr>
          <w:rFonts w:cs="Times New Roman"/>
          <w:sz w:val="24"/>
          <w:szCs w:val="24"/>
          <w:lang w:eastAsia="zh-CN"/>
        </w:rPr>
      </w:pPr>
      <w:r>
        <w:rPr>
          <w:rFonts w:cs="Times New Roman"/>
          <w:sz w:val="24"/>
          <w:szCs w:val="24"/>
          <w:lang w:eastAsia="zh-CN"/>
        </w:rPr>
        <w:t>4.1 资格要求：</w:t>
      </w:r>
    </w:p>
    <w:p>
      <w:pPr>
        <w:pStyle w:val="11"/>
        <w:tabs>
          <w:tab w:val="left" w:pos="2812"/>
          <w:tab w:val="left" w:pos="4300"/>
        </w:tabs>
        <w:spacing w:line="360" w:lineRule="auto"/>
        <w:ind w:firstLine="480" w:firstLineChars="200"/>
        <w:jc w:val="both"/>
        <w:rPr>
          <w:rFonts w:cs="Times New Roman"/>
          <w:sz w:val="24"/>
          <w:szCs w:val="24"/>
          <w:lang w:eastAsia="zh-CN"/>
        </w:rPr>
      </w:pPr>
      <w:r>
        <w:rPr>
          <w:rFonts w:cs="Times New Roman"/>
          <w:sz w:val="24"/>
          <w:szCs w:val="24"/>
          <w:lang w:eastAsia="zh-CN"/>
        </w:rPr>
        <w:t>（1）资质要求：具备有效的营业执照、组织机构代码证、税务登记证（如果三证合一只需要提供营业执照），投标人必须是具有独立承担民事责任能力的在中华人民共和国境内注册的法人。</w:t>
      </w:r>
      <w:r>
        <w:rPr>
          <w:rFonts w:hint="eastAsia" w:cs="Times New Roman"/>
          <w:sz w:val="24"/>
          <w:szCs w:val="24"/>
          <w:lang w:eastAsia="zh-CN"/>
        </w:rPr>
        <w:t>投标人</w:t>
      </w:r>
      <w:r>
        <w:rPr>
          <w:rFonts w:hint="eastAsia" w:cs="Times New Roman"/>
          <w:sz w:val="24"/>
          <w:szCs w:val="24"/>
          <w:lang w:val="en-US" w:eastAsia="zh-CN"/>
        </w:rPr>
        <w:t>应</w:t>
      </w:r>
      <w:r>
        <w:rPr>
          <w:rFonts w:hint="eastAsia" w:cs="Times New Roman"/>
          <w:sz w:val="24"/>
          <w:szCs w:val="24"/>
          <w:lang w:eastAsia="zh-CN"/>
        </w:rPr>
        <w:t>具有矿山虚拟仿真实训系统软件相关著作权。</w:t>
      </w:r>
    </w:p>
    <w:p>
      <w:pPr>
        <w:pStyle w:val="11"/>
        <w:tabs>
          <w:tab w:val="left" w:pos="2812"/>
          <w:tab w:val="left" w:pos="4300"/>
        </w:tabs>
        <w:spacing w:line="360" w:lineRule="auto"/>
        <w:ind w:firstLine="480" w:firstLineChars="200"/>
        <w:jc w:val="both"/>
        <w:rPr>
          <w:rFonts w:cs="Times New Roman"/>
          <w:sz w:val="24"/>
          <w:szCs w:val="24"/>
          <w:lang w:eastAsia="zh-CN"/>
        </w:rPr>
      </w:pPr>
      <w:r>
        <w:rPr>
          <w:rFonts w:cs="Times New Roman"/>
          <w:sz w:val="24"/>
          <w:szCs w:val="24"/>
          <w:lang w:eastAsia="zh-CN"/>
        </w:rPr>
        <w:t>（2）财务要求：资金财务状况良好，具有履行合同的能力；没有处于被责令停业，投标资格被取消，财产被接管、冻结，破产状态；投标人需提供2022年-2024年审计报告或财务报表（财务报表应包括资产负债表、现金流量表、利润表，投标人应保证财务报表真实有效，如存在弄虚造假问题，招标人保留追索的权利。投标人的成立时间少于规定年份的，应提供成立以来的财务状况表）。</w:t>
      </w:r>
    </w:p>
    <w:p>
      <w:pPr>
        <w:pStyle w:val="11"/>
        <w:tabs>
          <w:tab w:val="left" w:pos="2812"/>
          <w:tab w:val="left" w:pos="4300"/>
        </w:tabs>
        <w:spacing w:line="360" w:lineRule="auto"/>
        <w:ind w:firstLine="480" w:firstLineChars="200"/>
        <w:jc w:val="both"/>
        <w:rPr>
          <w:rFonts w:cs="Times New Roman"/>
          <w:sz w:val="24"/>
          <w:szCs w:val="24"/>
          <w:lang w:eastAsia="zh-CN"/>
        </w:rPr>
      </w:pPr>
      <w:r>
        <w:rPr>
          <w:rFonts w:cs="Times New Roman"/>
          <w:sz w:val="24"/>
          <w:szCs w:val="24"/>
          <w:lang w:eastAsia="zh-CN"/>
        </w:rPr>
        <w:t>（3）业绩要求：自202</w:t>
      </w:r>
      <w:r>
        <w:rPr>
          <w:rFonts w:hint="eastAsia" w:cs="Times New Roman"/>
          <w:sz w:val="24"/>
          <w:szCs w:val="24"/>
          <w:lang w:eastAsia="zh-CN"/>
        </w:rPr>
        <w:t>0</w:t>
      </w:r>
      <w:r>
        <w:rPr>
          <w:rFonts w:cs="Times New Roman"/>
          <w:sz w:val="24"/>
          <w:szCs w:val="24"/>
          <w:lang w:eastAsia="zh-CN"/>
        </w:rPr>
        <w:t>年1月1日至投标截止日止以来有</w:t>
      </w:r>
      <w:r>
        <w:rPr>
          <w:rFonts w:hint="eastAsia" w:cs="Times New Roman"/>
          <w:sz w:val="24"/>
          <w:szCs w:val="24"/>
          <w:lang w:eastAsia="zh-CN"/>
        </w:rPr>
        <w:t>矿山</w:t>
      </w:r>
      <w:r>
        <w:rPr>
          <w:rFonts w:cs="Times New Roman"/>
          <w:sz w:val="24"/>
          <w:szCs w:val="24"/>
          <w:lang w:eastAsia="zh-CN"/>
        </w:rPr>
        <w:t>VR</w:t>
      </w:r>
      <w:r>
        <w:rPr>
          <w:rFonts w:hint="eastAsia" w:cs="Times New Roman"/>
          <w:sz w:val="24"/>
          <w:szCs w:val="24"/>
          <w:lang w:eastAsia="zh-CN"/>
        </w:rPr>
        <w:t>类</w:t>
      </w:r>
      <w:r>
        <w:rPr>
          <w:rFonts w:cs="Times New Roman"/>
          <w:sz w:val="24"/>
          <w:szCs w:val="24"/>
          <w:lang w:eastAsia="zh-CN"/>
        </w:rPr>
        <w:t>业绩，提供合同（含合同首尾页、盖章页、合同标的、规模等有关内容）、中标通知书或销售发票扫描件等证明资料（上述证明文件需至少提供一个）。</w:t>
      </w:r>
    </w:p>
    <w:p>
      <w:pPr>
        <w:pStyle w:val="11"/>
        <w:tabs>
          <w:tab w:val="left" w:pos="2812"/>
          <w:tab w:val="left" w:pos="4300"/>
        </w:tabs>
        <w:spacing w:line="360" w:lineRule="auto"/>
        <w:ind w:firstLine="480" w:firstLineChars="200"/>
        <w:jc w:val="both"/>
        <w:rPr>
          <w:rFonts w:cs="Times New Roman"/>
          <w:sz w:val="24"/>
          <w:szCs w:val="24"/>
          <w:lang w:eastAsia="zh-CN"/>
        </w:rPr>
      </w:pPr>
      <w:r>
        <w:rPr>
          <w:rFonts w:cs="Times New Roman"/>
          <w:sz w:val="24"/>
          <w:szCs w:val="24"/>
          <w:lang w:eastAsia="zh-CN"/>
        </w:rPr>
        <w:t>（4）信誉要求：应提供商业信誉承诺书（格式请见第七章投标文件格式第七项资格审查资料）。未被“信用中国”网站（http://www.creditchina.gov.cn）列入失信被执行人、重大税收违法案件当事人名单、未被工商行政管理机关在全国企业信用信息公示系统（http://www.gsxt.gov.cn）中列入严重违法失信企业名单。</w:t>
      </w:r>
    </w:p>
    <w:p>
      <w:pPr>
        <w:pStyle w:val="11"/>
        <w:tabs>
          <w:tab w:val="left" w:pos="2812"/>
          <w:tab w:val="left" w:pos="4300"/>
        </w:tabs>
        <w:spacing w:line="360" w:lineRule="auto"/>
        <w:ind w:firstLine="480" w:firstLineChars="200"/>
        <w:jc w:val="both"/>
        <w:rPr>
          <w:rFonts w:cs="Times New Roman"/>
          <w:sz w:val="24"/>
          <w:szCs w:val="24"/>
          <w:lang w:eastAsia="zh-CN"/>
        </w:rPr>
      </w:pPr>
      <w:r>
        <w:rPr>
          <w:rFonts w:cs="Times New Roman"/>
          <w:sz w:val="24"/>
          <w:szCs w:val="24"/>
          <w:lang w:eastAsia="zh-CN"/>
        </w:rPr>
        <w:t>（5）其他要求：投标人在制造商授权下参与本招标项目的为代理商，应提供制造商授权书（格式见第七章投标文件格式第七项资格审查资料），投标人为代理商的，对投标人的资质要求包含对制造商的资质要求。无制造商授权书或持有其他格式的制造商授权文件的投标人，视为经销商允许参与投标。</w:t>
      </w:r>
    </w:p>
    <w:p>
      <w:pPr>
        <w:pStyle w:val="11"/>
        <w:tabs>
          <w:tab w:val="left" w:pos="2812"/>
          <w:tab w:val="left" w:pos="4300"/>
        </w:tabs>
        <w:spacing w:line="360" w:lineRule="auto"/>
        <w:ind w:firstLine="480" w:firstLineChars="200"/>
        <w:jc w:val="both"/>
        <w:rPr>
          <w:rFonts w:cs="Times New Roman"/>
          <w:sz w:val="24"/>
          <w:szCs w:val="24"/>
          <w:lang w:eastAsia="zh-CN"/>
        </w:rPr>
      </w:pPr>
      <w:r>
        <w:rPr>
          <w:rFonts w:cs="Times New Roman"/>
          <w:sz w:val="24"/>
          <w:szCs w:val="24"/>
          <w:lang w:eastAsia="zh-CN"/>
        </w:rPr>
        <w:t>4.2 本次招标不接受联合体投标。</w:t>
      </w:r>
    </w:p>
    <w:p>
      <w:pPr>
        <w:pStyle w:val="11"/>
        <w:tabs>
          <w:tab w:val="left" w:pos="2812"/>
          <w:tab w:val="left" w:pos="4300"/>
        </w:tabs>
        <w:spacing w:line="360" w:lineRule="auto"/>
        <w:ind w:firstLine="480" w:firstLineChars="200"/>
        <w:jc w:val="both"/>
        <w:rPr>
          <w:rFonts w:cs="Times New Roman"/>
          <w:sz w:val="24"/>
          <w:szCs w:val="24"/>
          <w:lang w:eastAsia="zh-CN"/>
        </w:rPr>
      </w:pPr>
      <w:r>
        <w:rPr>
          <w:rFonts w:cs="Times New Roman"/>
          <w:sz w:val="24"/>
          <w:szCs w:val="24"/>
          <w:lang w:eastAsia="zh-CN"/>
        </w:rPr>
        <w:t>4.3本项目不允许转包。</w:t>
      </w:r>
    </w:p>
    <w:p>
      <w:pPr>
        <w:pStyle w:val="3"/>
        <w:spacing w:line="360" w:lineRule="auto"/>
        <w:ind w:left="0" w:right="0" w:firstLine="482" w:firstLineChars="200"/>
        <w:jc w:val="both"/>
        <w:rPr>
          <w:rFonts w:ascii="Times New Roman" w:hAnsi="Times New Roman" w:cs="Times New Roman"/>
          <w:szCs w:val="24"/>
          <w:lang w:eastAsia="zh-CN"/>
        </w:rPr>
      </w:pPr>
      <w:bookmarkStart w:id="13" w:name="_Toc22359"/>
      <w:bookmarkStart w:id="14" w:name="_Toc65848092"/>
      <w:r>
        <w:rPr>
          <w:rFonts w:ascii="Times New Roman" w:hAnsi="Times New Roman" w:cs="Times New Roman"/>
          <w:szCs w:val="24"/>
          <w:lang w:eastAsia="zh-CN"/>
        </w:rPr>
        <w:t>5.招标文件的获取</w:t>
      </w:r>
      <w:bookmarkEnd w:id="13"/>
      <w:bookmarkEnd w:id="14"/>
    </w:p>
    <w:p>
      <w:pPr>
        <w:pStyle w:val="11"/>
        <w:spacing w:line="360" w:lineRule="auto"/>
        <w:ind w:firstLine="480" w:firstLineChars="200"/>
        <w:rPr>
          <w:rFonts w:cs="Times New Roman"/>
          <w:sz w:val="24"/>
          <w:szCs w:val="24"/>
          <w:lang w:eastAsia="zh-CN"/>
        </w:rPr>
      </w:pPr>
      <w:bookmarkStart w:id="15" w:name="_Toc30199"/>
      <w:bookmarkStart w:id="16" w:name="_Toc18178"/>
      <w:r>
        <w:rPr>
          <w:rFonts w:cs="Times New Roman"/>
          <w:sz w:val="24"/>
          <w:szCs w:val="24"/>
        </w:rPr>
        <w:t>5.1凡有意参加投标者，请于2025年</w:t>
      </w:r>
      <w:r>
        <w:rPr>
          <w:rFonts w:hint="eastAsia" w:cs="Times New Roman"/>
          <w:sz w:val="24"/>
          <w:szCs w:val="24"/>
          <w:lang w:val="en-US" w:eastAsia="zh-CN"/>
        </w:rPr>
        <w:t>10</w:t>
      </w:r>
      <w:r>
        <w:rPr>
          <w:rFonts w:cs="Times New Roman"/>
          <w:sz w:val="24"/>
          <w:szCs w:val="24"/>
        </w:rPr>
        <w:t>月</w:t>
      </w:r>
      <w:r>
        <w:rPr>
          <w:rFonts w:hint="eastAsia" w:cs="Times New Roman"/>
          <w:sz w:val="24"/>
          <w:szCs w:val="24"/>
          <w:lang w:val="en-US" w:eastAsia="zh-CN"/>
        </w:rPr>
        <w:t>13</w:t>
      </w:r>
      <w:r>
        <w:rPr>
          <w:rFonts w:cs="Times New Roman"/>
          <w:sz w:val="24"/>
          <w:szCs w:val="24"/>
        </w:rPr>
        <w:t>日至2025年</w:t>
      </w:r>
      <w:r>
        <w:rPr>
          <w:rFonts w:hint="eastAsia" w:cs="Times New Roman"/>
          <w:sz w:val="24"/>
          <w:szCs w:val="24"/>
          <w:lang w:val="en-US" w:eastAsia="zh-CN"/>
        </w:rPr>
        <w:t>10</w:t>
      </w:r>
      <w:r>
        <w:rPr>
          <w:rFonts w:cs="Times New Roman"/>
          <w:sz w:val="24"/>
          <w:szCs w:val="24"/>
        </w:rPr>
        <w:t>月</w:t>
      </w:r>
      <w:r>
        <w:rPr>
          <w:rFonts w:hint="eastAsia" w:cs="Times New Roman"/>
          <w:sz w:val="24"/>
          <w:szCs w:val="24"/>
          <w:lang w:val="en-US" w:eastAsia="zh-CN"/>
        </w:rPr>
        <w:t>28</w:t>
      </w:r>
      <w:r>
        <w:rPr>
          <w:rFonts w:cs="Times New Roman"/>
          <w:sz w:val="24"/>
          <w:szCs w:val="24"/>
        </w:rPr>
        <w:t>日</w:t>
      </w:r>
      <w:r>
        <w:rPr>
          <w:rFonts w:cs="Times New Roman"/>
          <w:sz w:val="24"/>
          <w:szCs w:val="24"/>
          <w:lang w:eastAsia="zh-CN"/>
        </w:rPr>
        <w:t>9</w:t>
      </w:r>
      <w:r>
        <w:rPr>
          <w:rFonts w:cs="Times New Roman"/>
          <w:sz w:val="24"/>
          <w:szCs w:val="24"/>
        </w:rPr>
        <w:t>时(北京时间，下同)，登录中国有色集团采购招标电子商务平台（http://ecp.cnmc.com.cn/）（以下简称平台）下载电子招标文件。</w:t>
      </w:r>
      <w:r>
        <w:rPr>
          <w:rFonts w:cs="Times New Roman"/>
          <w:sz w:val="24"/>
          <w:szCs w:val="24"/>
          <w:lang w:eastAsia="zh-CN"/>
        </w:rPr>
        <w:t>（网站首页下载中心有供应商使用手册，请自行下载学习使用平台）。</w:t>
      </w:r>
    </w:p>
    <w:bookmarkEnd w:id="15"/>
    <w:bookmarkEnd w:id="16"/>
    <w:p>
      <w:pPr>
        <w:pStyle w:val="11"/>
        <w:snapToGrid w:val="0"/>
        <w:spacing w:line="360" w:lineRule="auto"/>
        <w:ind w:firstLine="480" w:firstLineChars="200"/>
        <w:rPr>
          <w:rFonts w:cs="Times New Roman"/>
          <w:sz w:val="24"/>
          <w:szCs w:val="24"/>
          <w:lang w:eastAsia="zh-CN"/>
        </w:rPr>
      </w:pPr>
      <w:r>
        <w:rPr>
          <w:rFonts w:cs="Times New Roman"/>
          <w:sz w:val="24"/>
          <w:szCs w:val="24"/>
          <w:lang w:eastAsia="zh-CN"/>
        </w:rPr>
        <w:t>5.2 招标文件不收取费用。</w:t>
      </w:r>
    </w:p>
    <w:p>
      <w:pPr>
        <w:snapToGrid w:val="0"/>
        <w:spacing w:line="360" w:lineRule="auto"/>
        <w:ind w:firstLine="482" w:firstLineChars="200"/>
        <w:rPr>
          <w:rFonts w:cs="Times New Roman"/>
          <w:sz w:val="24"/>
          <w:szCs w:val="24"/>
          <w:lang w:eastAsia="zh-CN"/>
        </w:rPr>
      </w:pPr>
      <w:r>
        <w:rPr>
          <w:rFonts w:cs="Times New Roman"/>
          <w:b/>
          <w:bCs/>
          <w:sz w:val="24"/>
          <w:szCs w:val="24"/>
          <w:lang w:eastAsia="zh-CN"/>
        </w:rPr>
        <w:t>本项目的保证金、中标服务费均汇入以下账号。请投标人在汇款时务必注明所投标项目的招标编号，否则，因款项用途不明导致投标无效等后果由投标人自行承担：</w:t>
      </w:r>
    </w:p>
    <w:p>
      <w:pPr>
        <w:pStyle w:val="11"/>
        <w:snapToGrid w:val="0"/>
        <w:spacing w:line="360" w:lineRule="auto"/>
        <w:ind w:firstLine="480" w:firstLineChars="200"/>
        <w:rPr>
          <w:rFonts w:cs="Times New Roman"/>
          <w:sz w:val="24"/>
          <w:szCs w:val="24"/>
          <w:lang w:eastAsia="zh-CN"/>
        </w:rPr>
      </w:pPr>
      <w:r>
        <w:rPr>
          <w:rFonts w:cs="Times New Roman"/>
          <w:sz w:val="24"/>
          <w:szCs w:val="24"/>
          <w:lang w:eastAsia="zh-CN"/>
        </w:rPr>
        <w:t>公司全称：中色国际贸易有限公司</w:t>
      </w:r>
    </w:p>
    <w:p>
      <w:pPr>
        <w:pStyle w:val="11"/>
        <w:snapToGrid w:val="0"/>
        <w:spacing w:line="360" w:lineRule="auto"/>
        <w:ind w:firstLine="480" w:firstLineChars="200"/>
        <w:rPr>
          <w:rFonts w:cs="Times New Roman"/>
          <w:sz w:val="24"/>
          <w:szCs w:val="24"/>
          <w:lang w:eastAsia="zh-CN"/>
        </w:rPr>
      </w:pPr>
      <w:r>
        <w:rPr>
          <w:rFonts w:cs="Times New Roman"/>
          <w:sz w:val="24"/>
          <w:szCs w:val="24"/>
          <w:lang w:eastAsia="zh-CN"/>
        </w:rPr>
        <w:t>开户行：交通银行股份有限公司武汉武昌支行</w:t>
      </w:r>
    </w:p>
    <w:p>
      <w:pPr>
        <w:pStyle w:val="11"/>
        <w:snapToGrid w:val="0"/>
        <w:spacing w:line="360" w:lineRule="auto"/>
        <w:ind w:firstLine="480" w:firstLineChars="200"/>
        <w:rPr>
          <w:rFonts w:cs="Times New Roman"/>
          <w:sz w:val="24"/>
          <w:szCs w:val="24"/>
          <w:lang w:eastAsia="zh-CN"/>
        </w:rPr>
      </w:pPr>
      <w:r>
        <w:rPr>
          <w:rFonts w:cs="Times New Roman"/>
          <w:sz w:val="24"/>
          <w:szCs w:val="24"/>
          <w:lang w:eastAsia="zh-CN"/>
        </w:rPr>
        <w:t>联行号：3015 2100 8000</w:t>
      </w:r>
    </w:p>
    <w:p>
      <w:pPr>
        <w:pStyle w:val="11"/>
        <w:snapToGrid w:val="0"/>
        <w:spacing w:line="360" w:lineRule="auto"/>
        <w:ind w:firstLine="480" w:firstLineChars="200"/>
        <w:rPr>
          <w:rFonts w:cs="Times New Roman"/>
          <w:sz w:val="24"/>
          <w:szCs w:val="24"/>
          <w:lang w:eastAsia="zh-CN"/>
        </w:rPr>
      </w:pPr>
      <w:r>
        <w:rPr>
          <w:rFonts w:cs="Times New Roman"/>
          <w:sz w:val="24"/>
          <w:szCs w:val="24"/>
          <w:lang w:eastAsia="zh-CN"/>
        </w:rPr>
        <w:t>银行账号：0012 0110 1030 026</w:t>
      </w:r>
    </w:p>
    <w:p>
      <w:pPr>
        <w:pStyle w:val="3"/>
        <w:spacing w:line="360" w:lineRule="auto"/>
        <w:ind w:left="0" w:right="0" w:firstLine="482" w:firstLineChars="200"/>
        <w:jc w:val="both"/>
        <w:rPr>
          <w:rFonts w:ascii="Times New Roman" w:hAnsi="Times New Roman" w:cs="Times New Roman"/>
          <w:szCs w:val="24"/>
          <w:lang w:eastAsia="zh-CN"/>
        </w:rPr>
      </w:pPr>
      <w:bookmarkStart w:id="17" w:name="_Toc13062"/>
      <w:bookmarkStart w:id="18" w:name="_Toc65848093"/>
      <w:r>
        <w:rPr>
          <w:rFonts w:ascii="Times New Roman" w:hAnsi="Times New Roman" w:cs="Times New Roman"/>
          <w:szCs w:val="24"/>
          <w:lang w:eastAsia="zh-CN"/>
        </w:rPr>
        <w:t>6.投标文件的递交</w:t>
      </w:r>
      <w:bookmarkEnd w:id="17"/>
      <w:bookmarkEnd w:id="18"/>
    </w:p>
    <w:p>
      <w:pPr>
        <w:pStyle w:val="11"/>
        <w:spacing w:line="360" w:lineRule="auto"/>
        <w:ind w:firstLine="480" w:firstLineChars="200"/>
        <w:jc w:val="both"/>
        <w:rPr>
          <w:rFonts w:cs="Times New Roman"/>
          <w:sz w:val="24"/>
          <w:szCs w:val="24"/>
          <w:lang w:eastAsia="zh-CN"/>
        </w:rPr>
      </w:pPr>
      <w:r>
        <w:rPr>
          <w:rFonts w:cs="Times New Roman"/>
          <w:sz w:val="24"/>
          <w:szCs w:val="24"/>
          <w:lang w:eastAsia="zh-CN"/>
        </w:rPr>
        <w:t>6.1投标文件递交的截止时间（投标截止时间，下同）为2025年</w:t>
      </w:r>
      <w:r>
        <w:rPr>
          <w:rFonts w:hint="eastAsia" w:cs="Times New Roman"/>
          <w:sz w:val="24"/>
          <w:szCs w:val="24"/>
          <w:lang w:val="en-US" w:eastAsia="zh-CN"/>
        </w:rPr>
        <w:t>10</w:t>
      </w:r>
      <w:r>
        <w:rPr>
          <w:rFonts w:cs="Times New Roman"/>
          <w:sz w:val="24"/>
          <w:szCs w:val="24"/>
        </w:rPr>
        <w:t>月</w:t>
      </w:r>
      <w:r>
        <w:rPr>
          <w:rFonts w:hint="eastAsia" w:cs="Times New Roman"/>
          <w:sz w:val="24"/>
          <w:szCs w:val="24"/>
          <w:lang w:val="en-US" w:eastAsia="zh-CN"/>
        </w:rPr>
        <w:t>28</w:t>
      </w:r>
      <w:r>
        <w:rPr>
          <w:rFonts w:cs="Times New Roman"/>
          <w:sz w:val="24"/>
          <w:szCs w:val="24"/>
          <w:lang w:eastAsia="zh-CN"/>
        </w:rPr>
        <w:t>日</w:t>
      </w:r>
      <w:r>
        <w:rPr>
          <w:rFonts w:cs="Times New Roman"/>
          <w:sz w:val="24"/>
          <w:szCs w:val="24"/>
          <w:u w:val="single"/>
          <w:lang w:eastAsia="zh-CN"/>
        </w:rPr>
        <w:t>9时30分</w:t>
      </w:r>
      <w:r>
        <w:rPr>
          <w:rFonts w:cs="Times New Roman"/>
          <w:sz w:val="24"/>
          <w:szCs w:val="24"/>
          <w:lang w:eastAsia="zh-CN"/>
        </w:rPr>
        <w:t>，投标人应在截止时间前通过平台递交电子投标文件。</w:t>
      </w:r>
    </w:p>
    <w:p>
      <w:pPr>
        <w:pStyle w:val="11"/>
        <w:spacing w:line="360" w:lineRule="auto"/>
        <w:ind w:firstLine="480" w:firstLineChars="200"/>
        <w:jc w:val="both"/>
        <w:rPr>
          <w:rFonts w:cs="Times New Roman"/>
          <w:sz w:val="24"/>
          <w:szCs w:val="24"/>
          <w:lang w:eastAsia="zh-CN"/>
        </w:rPr>
      </w:pPr>
      <w:r>
        <w:rPr>
          <w:rFonts w:cs="Times New Roman"/>
          <w:sz w:val="24"/>
          <w:szCs w:val="24"/>
          <w:lang w:eastAsia="zh-CN"/>
        </w:rPr>
        <w:t>6.2逾期送达的投标文件，电子招标投标交易平台将予以拒收。</w:t>
      </w:r>
    </w:p>
    <w:p>
      <w:pPr>
        <w:pStyle w:val="3"/>
        <w:spacing w:line="360" w:lineRule="auto"/>
        <w:ind w:left="0" w:right="0" w:firstLine="482" w:firstLineChars="200"/>
        <w:jc w:val="both"/>
        <w:rPr>
          <w:rFonts w:ascii="Times New Roman" w:hAnsi="Times New Roman" w:cs="Times New Roman"/>
          <w:szCs w:val="24"/>
          <w:lang w:eastAsia="zh-CN"/>
        </w:rPr>
      </w:pPr>
      <w:bookmarkStart w:id="19" w:name="_Toc5203"/>
      <w:bookmarkStart w:id="20" w:name="_Toc65848094"/>
      <w:r>
        <w:rPr>
          <w:rFonts w:ascii="Times New Roman" w:hAnsi="Times New Roman" w:cs="Times New Roman"/>
          <w:szCs w:val="24"/>
          <w:lang w:eastAsia="zh-CN"/>
        </w:rPr>
        <w:t>7.开标时间、地点</w:t>
      </w:r>
      <w:bookmarkEnd w:id="19"/>
      <w:bookmarkEnd w:id="20"/>
    </w:p>
    <w:p>
      <w:pPr>
        <w:pStyle w:val="11"/>
        <w:spacing w:line="360" w:lineRule="auto"/>
        <w:ind w:firstLine="480" w:firstLineChars="200"/>
        <w:jc w:val="both"/>
        <w:rPr>
          <w:rFonts w:cs="Times New Roman"/>
          <w:sz w:val="24"/>
          <w:szCs w:val="24"/>
          <w:lang w:eastAsia="zh-CN"/>
        </w:rPr>
      </w:pPr>
      <w:r>
        <w:rPr>
          <w:rFonts w:cs="Times New Roman"/>
          <w:sz w:val="24"/>
          <w:szCs w:val="24"/>
          <w:lang w:eastAsia="zh-CN"/>
        </w:rPr>
        <w:t>7.1开标时间：2025年</w:t>
      </w:r>
      <w:r>
        <w:rPr>
          <w:rFonts w:hint="eastAsia" w:cs="Times New Roman"/>
          <w:sz w:val="24"/>
          <w:szCs w:val="24"/>
          <w:lang w:val="en-US" w:eastAsia="zh-CN"/>
        </w:rPr>
        <w:t>10</w:t>
      </w:r>
      <w:r>
        <w:rPr>
          <w:rFonts w:cs="Times New Roman"/>
          <w:sz w:val="24"/>
          <w:szCs w:val="24"/>
        </w:rPr>
        <w:t>月</w:t>
      </w:r>
      <w:r>
        <w:rPr>
          <w:rFonts w:hint="eastAsia" w:cs="Times New Roman"/>
          <w:sz w:val="24"/>
          <w:szCs w:val="24"/>
          <w:lang w:val="en-US" w:eastAsia="zh-CN"/>
        </w:rPr>
        <w:t>28</w:t>
      </w:r>
      <w:r>
        <w:rPr>
          <w:rFonts w:cs="Times New Roman"/>
          <w:sz w:val="24"/>
          <w:szCs w:val="24"/>
          <w:lang w:eastAsia="zh-CN"/>
        </w:rPr>
        <w:t>日</w:t>
      </w:r>
      <w:r>
        <w:rPr>
          <w:rFonts w:cs="Times New Roman"/>
          <w:sz w:val="24"/>
          <w:szCs w:val="24"/>
          <w:u w:val="single"/>
          <w:lang w:eastAsia="zh-CN"/>
        </w:rPr>
        <w:t>9时30分</w:t>
      </w:r>
    </w:p>
    <w:p>
      <w:pPr>
        <w:pStyle w:val="11"/>
        <w:spacing w:line="360" w:lineRule="auto"/>
        <w:ind w:firstLine="480" w:firstLineChars="200"/>
        <w:jc w:val="both"/>
        <w:rPr>
          <w:rFonts w:cs="Times New Roman"/>
          <w:sz w:val="24"/>
          <w:szCs w:val="24"/>
          <w:lang w:eastAsia="zh-CN"/>
        </w:rPr>
      </w:pPr>
      <w:r>
        <w:rPr>
          <w:rFonts w:cs="Times New Roman"/>
          <w:sz w:val="24"/>
          <w:szCs w:val="24"/>
          <w:lang w:eastAsia="zh-CN"/>
        </w:rPr>
        <w:t>7.2开标地点：平台线上开标</w:t>
      </w:r>
    </w:p>
    <w:p>
      <w:pPr>
        <w:pStyle w:val="11"/>
        <w:spacing w:line="360" w:lineRule="auto"/>
        <w:ind w:firstLine="480" w:firstLineChars="200"/>
        <w:jc w:val="both"/>
        <w:rPr>
          <w:rFonts w:cs="Times New Roman"/>
          <w:sz w:val="24"/>
          <w:szCs w:val="24"/>
          <w:lang w:eastAsia="zh-CN"/>
        </w:rPr>
      </w:pPr>
      <w:r>
        <w:rPr>
          <w:rFonts w:cs="Times New Roman"/>
          <w:sz w:val="24"/>
          <w:szCs w:val="24"/>
          <w:lang w:eastAsia="zh-CN"/>
        </w:rPr>
        <w:t>投标人不用到现场，但仍需在线参加开标过程。在开标时间前，招标人或招标代理机构会开启远程开标大厅，投标人须登录投标管家（登录中国有色集团采购招标电子商务平台（http://ecp.cnmc.com.cn/），页面右方下载中心下载投标管家）点击“在线签到”。开标时间则截止签到，招标人开启远程解密，投标人在投标管家中点击“一键解密”解密标书，系统开始唱标。</w:t>
      </w:r>
    </w:p>
    <w:p>
      <w:pPr>
        <w:pStyle w:val="3"/>
        <w:spacing w:line="360" w:lineRule="auto"/>
        <w:ind w:left="0" w:right="0" w:firstLine="482" w:firstLineChars="200"/>
        <w:jc w:val="both"/>
        <w:rPr>
          <w:rFonts w:ascii="Times New Roman" w:hAnsi="Times New Roman" w:cs="Times New Roman"/>
          <w:szCs w:val="24"/>
          <w:lang w:eastAsia="zh-CN"/>
        </w:rPr>
      </w:pPr>
      <w:bookmarkStart w:id="21" w:name="_Toc15648"/>
      <w:bookmarkStart w:id="22" w:name="_Toc65848095"/>
      <w:r>
        <w:rPr>
          <w:rFonts w:ascii="Times New Roman" w:hAnsi="Times New Roman" w:cs="Times New Roman"/>
          <w:szCs w:val="24"/>
          <w:lang w:eastAsia="zh-CN"/>
        </w:rPr>
        <w:t>8.发布公告的媒介</w:t>
      </w:r>
      <w:bookmarkEnd w:id="21"/>
      <w:bookmarkEnd w:id="22"/>
    </w:p>
    <w:p>
      <w:pPr>
        <w:pStyle w:val="11"/>
        <w:spacing w:line="360" w:lineRule="auto"/>
        <w:ind w:firstLine="480" w:firstLineChars="200"/>
        <w:jc w:val="both"/>
        <w:rPr>
          <w:rFonts w:cs="Times New Roman"/>
          <w:sz w:val="24"/>
          <w:szCs w:val="24"/>
          <w:lang w:eastAsia="zh-CN"/>
        </w:rPr>
      </w:pPr>
      <w:r>
        <w:rPr>
          <w:rFonts w:cs="Times New Roman"/>
          <w:sz w:val="24"/>
          <w:szCs w:val="24"/>
          <w:lang w:eastAsia="zh-CN"/>
        </w:rPr>
        <w:t>本次招标公告同时在</w:t>
      </w:r>
      <w:bookmarkStart w:id="23" w:name="_Hlk67388691"/>
      <w:r>
        <w:rPr>
          <w:rFonts w:cs="Times New Roman"/>
          <w:sz w:val="24"/>
          <w:szCs w:val="24"/>
          <w:lang w:eastAsia="zh-CN"/>
        </w:rPr>
        <w:t>中国有色集团采购招标电子商务平台（http://ecp.cnmc.com.cn/）及</w:t>
      </w:r>
      <w:bookmarkEnd w:id="23"/>
      <w:r>
        <w:rPr>
          <w:rFonts w:cs="Times New Roman"/>
          <w:sz w:val="24"/>
          <w:szCs w:val="24"/>
          <w:lang w:eastAsia="zh-CN"/>
        </w:rPr>
        <w:t>中国招投标公共服务平台（http://www.cebpubservice.com/）上发布。</w:t>
      </w:r>
    </w:p>
    <w:p>
      <w:pPr>
        <w:pStyle w:val="3"/>
        <w:spacing w:line="360" w:lineRule="auto"/>
        <w:ind w:left="0" w:right="0" w:firstLine="482" w:firstLineChars="200"/>
        <w:jc w:val="both"/>
        <w:rPr>
          <w:rFonts w:ascii="Times New Roman" w:hAnsi="Times New Roman" w:cs="Times New Roman"/>
          <w:szCs w:val="24"/>
          <w:lang w:eastAsia="zh-CN"/>
        </w:rPr>
      </w:pPr>
      <w:bookmarkStart w:id="24" w:name="_Toc14794"/>
      <w:bookmarkStart w:id="25" w:name="_Toc5789"/>
      <w:bookmarkStart w:id="26" w:name="_Toc65848096"/>
      <w:r>
        <w:rPr>
          <w:rFonts w:ascii="Times New Roman" w:hAnsi="Times New Roman" w:cs="Times New Roman"/>
          <w:szCs w:val="24"/>
          <w:lang w:eastAsia="zh-CN"/>
        </w:rPr>
        <w:t>9.联系方式</w:t>
      </w:r>
      <w:bookmarkEnd w:id="24"/>
      <w:bookmarkEnd w:id="25"/>
    </w:p>
    <w:p>
      <w:pPr>
        <w:pStyle w:val="11"/>
        <w:tabs>
          <w:tab w:val="left" w:pos="4228"/>
          <w:tab w:val="left" w:pos="7990"/>
        </w:tabs>
        <w:spacing w:line="360" w:lineRule="auto"/>
        <w:ind w:right="865" w:firstLine="480" w:firstLineChars="200"/>
        <w:jc w:val="both"/>
        <w:rPr>
          <w:rFonts w:cs="Times New Roman"/>
          <w:sz w:val="24"/>
          <w:szCs w:val="24"/>
          <w:lang w:eastAsia="zh-CN"/>
        </w:rPr>
      </w:pPr>
      <w:r>
        <w:rPr>
          <w:rFonts w:cs="Times New Roman"/>
          <w:sz w:val="24"/>
          <w:szCs w:val="24"/>
          <w:lang w:eastAsia="zh-CN"/>
        </w:rPr>
        <w:t>招标人：中色卢安夏铜业有限公司</w:t>
      </w:r>
    </w:p>
    <w:p>
      <w:pPr>
        <w:pStyle w:val="11"/>
        <w:tabs>
          <w:tab w:val="left" w:pos="4228"/>
          <w:tab w:val="left" w:pos="7990"/>
        </w:tabs>
        <w:spacing w:line="360" w:lineRule="auto"/>
        <w:ind w:right="865" w:firstLine="480" w:firstLineChars="200"/>
        <w:jc w:val="both"/>
        <w:rPr>
          <w:rFonts w:cs="Times New Roman"/>
          <w:sz w:val="24"/>
          <w:szCs w:val="24"/>
          <w:lang w:eastAsia="zh-CN"/>
        </w:rPr>
      </w:pPr>
      <w:r>
        <w:rPr>
          <w:rFonts w:cs="Times New Roman"/>
          <w:sz w:val="24"/>
          <w:szCs w:val="24"/>
          <w:lang w:eastAsia="zh-CN"/>
        </w:rPr>
        <w:t xml:space="preserve">地   </w:t>
      </w:r>
      <w:r>
        <w:rPr>
          <w:rFonts w:cs="Times New Roman"/>
          <w:spacing w:val="5"/>
          <w:sz w:val="24"/>
          <w:szCs w:val="24"/>
          <w:lang w:eastAsia="zh-CN"/>
        </w:rPr>
        <w:t xml:space="preserve"> </w:t>
      </w:r>
      <w:r>
        <w:rPr>
          <w:rFonts w:cs="Times New Roman"/>
          <w:sz w:val="24"/>
          <w:szCs w:val="24"/>
          <w:lang w:eastAsia="zh-CN"/>
        </w:rPr>
        <w:t>址：PO Box 90456, Luanshya, Zambia</w:t>
      </w:r>
    </w:p>
    <w:p>
      <w:pPr>
        <w:pStyle w:val="11"/>
        <w:tabs>
          <w:tab w:val="left" w:pos="4228"/>
          <w:tab w:val="left" w:pos="7990"/>
        </w:tabs>
        <w:spacing w:line="360" w:lineRule="auto"/>
        <w:ind w:right="865" w:firstLine="480" w:firstLineChars="200"/>
        <w:jc w:val="both"/>
        <w:rPr>
          <w:rFonts w:cs="Times New Roman"/>
          <w:sz w:val="24"/>
          <w:szCs w:val="24"/>
          <w:lang w:eastAsia="zh-CN"/>
        </w:rPr>
      </w:pPr>
      <w:r>
        <w:rPr>
          <w:rFonts w:cs="Times New Roman"/>
          <w:sz w:val="24"/>
          <w:szCs w:val="24"/>
          <w:lang w:eastAsia="zh-CN"/>
        </w:rPr>
        <w:t xml:space="preserve">邮   </w:t>
      </w:r>
      <w:r>
        <w:rPr>
          <w:rFonts w:cs="Times New Roman"/>
          <w:spacing w:val="5"/>
          <w:sz w:val="24"/>
          <w:szCs w:val="24"/>
          <w:lang w:eastAsia="zh-CN"/>
        </w:rPr>
        <w:t xml:space="preserve"> </w:t>
      </w:r>
      <w:r>
        <w:rPr>
          <w:rFonts w:cs="Times New Roman"/>
          <w:sz w:val="24"/>
          <w:szCs w:val="24"/>
          <w:lang w:eastAsia="zh-CN"/>
        </w:rPr>
        <w:t>编：PO Box 90456</w:t>
      </w:r>
    </w:p>
    <w:p>
      <w:pPr>
        <w:pStyle w:val="11"/>
        <w:tabs>
          <w:tab w:val="left" w:pos="4228"/>
          <w:tab w:val="left" w:pos="7990"/>
        </w:tabs>
        <w:spacing w:line="360" w:lineRule="auto"/>
        <w:ind w:right="865" w:firstLine="480" w:firstLineChars="200"/>
        <w:jc w:val="both"/>
        <w:rPr>
          <w:rFonts w:cs="Times New Roman"/>
          <w:sz w:val="24"/>
          <w:szCs w:val="24"/>
          <w:lang w:eastAsia="zh-CN"/>
        </w:rPr>
      </w:pPr>
      <w:r>
        <w:rPr>
          <w:rFonts w:cs="Times New Roman"/>
          <w:sz w:val="24"/>
          <w:szCs w:val="24"/>
          <w:lang w:eastAsia="zh-CN"/>
        </w:rPr>
        <w:t>联系人：张鹏</w:t>
      </w:r>
    </w:p>
    <w:p>
      <w:pPr>
        <w:pStyle w:val="11"/>
        <w:tabs>
          <w:tab w:val="left" w:pos="4228"/>
          <w:tab w:val="left" w:pos="7990"/>
        </w:tabs>
        <w:spacing w:line="360" w:lineRule="auto"/>
        <w:ind w:right="865" w:firstLine="480" w:firstLineChars="200"/>
        <w:jc w:val="both"/>
        <w:rPr>
          <w:rFonts w:cs="Times New Roman"/>
          <w:sz w:val="24"/>
          <w:szCs w:val="24"/>
          <w:lang w:eastAsia="zh-CN"/>
        </w:rPr>
      </w:pPr>
      <w:r>
        <w:rPr>
          <w:rFonts w:cs="Times New Roman"/>
          <w:sz w:val="24"/>
          <w:szCs w:val="24"/>
          <w:lang w:eastAsia="zh-CN"/>
        </w:rPr>
        <w:t xml:space="preserve">电   </w:t>
      </w:r>
      <w:r>
        <w:rPr>
          <w:rFonts w:cs="Times New Roman"/>
          <w:spacing w:val="5"/>
          <w:sz w:val="24"/>
          <w:szCs w:val="24"/>
          <w:lang w:eastAsia="zh-CN"/>
        </w:rPr>
        <w:t xml:space="preserve"> </w:t>
      </w:r>
      <w:r>
        <w:rPr>
          <w:rFonts w:cs="Times New Roman"/>
          <w:sz w:val="24"/>
          <w:szCs w:val="24"/>
          <w:lang w:eastAsia="zh-CN"/>
        </w:rPr>
        <w:t>话：+260 966863751</w:t>
      </w:r>
    </w:p>
    <w:p>
      <w:pPr>
        <w:spacing w:line="360" w:lineRule="auto"/>
        <w:ind w:firstLine="480" w:firstLineChars="200"/>
        <w:rPr>
          <w:rFonts w:cs="Times New Roman"/>
          <w:sz w:val="24"/>
          <w:szCs w:val="24"/>
          <w:lang w:eastAsia="zh-CN"/>
        </w:rPr>
      </w:pPr>
      <w:r>
        <w:rPr>
          <w:rFonts w:cs="Times New Roman"/>
          <w:sz w:val="24"/>
          <w:szCs w:val="24"/>
          <w:lang w:eastAsia="zh-CN"/>
        </w:rPr>
        <w:t>电子邮件：ZHANGPENG@clm.com.zm</w:t>
      </w:r>
    </w:p>
    <w:p>
      <w:pPr>
        <w:pStyle w:val="11"/>
        <w:tabs>
          <w:tab w:val="left" w:pos="4228"/>
          <w:tab w:val="left" w:pos="7990"/>
        </w:tabs>
        <w:spacing w:line="360" w:lineRule="auto"/>
        <w:ind w:right="865" w:firstLine="480" w:firstLineChars="200"/>
        <w:jc w:val="both"/>
        <w:rPr>
          <w:rFonts w:cs="Times New Roman"/>
          <w:sz w:val="24"/>
          <w:szCs w:val="24"/>
          <w:lang w:eastAsia="zh-CN"/>
        </w:rPr>
      </w:pPr>
      <w:r>
        <w:rPr>
          <w:rFonts w:cs="Times New Roman"/>
          <w:sz w:val="24"/>
          <w:szCs w:val="24"/>
          <w:lang w:eastAsia="zh-CN"/>
        </w:rPr>
        <w:t>招标代理机构：中色国际贸易有限公司</w:t>
      </w:r>
    </w:p>
    <w:p>
      <w:pPr>
        <w:pStyle w:val="11"/>
        <w:tabs>
          <w:tab w:val="left" w:pos="4228"/>
          <w:tab w:val="left" w:pos="7990"/>
        </w:tabs>
        <w:spacing w:line="360" w:lineRule="auto"/>
        <w:ind w:right="865" w:firstLine="480" w:firstLineChars="200"/>
        <w:jc w:val="both"/>
        <w:rPr>
          <w:rFonts w:cs="Times New Roman"/>
          <w:sz w:val="24"/>
          <w:szCs w:val="24"/>
          <w:lang w:eastAsia="zh-CN"/>
        </w:rPr>
      </w:pPr>
      <w:r>
        <w:rPr>
          <w:rFonts w:cs="Times New Roman"/>
          <w:sz w:val="24"/>
          <w:szCs w:val="24"/>
          <w:lang w:eastAsia="zh-CN"/>
        </w:rPr>
        <w:t xml:space="preserve">地   </w:t>
      </w:r>
      <w:r>
        <w:rPr>
          <w:rFonts w:cs="Times New Roman"/>
          <w:spacing w:val="5"/>
          <w:sz w:val="24"/>
          <w:szCs w:val="24"/>
          <w:lang w:eastAsia="zh-CN"/>
        </w:rPr>
        <w:t xml:space="preserve"> </w:t>
      </w:r>
      <w:r>
        <w:rPr>
          <w:rFonts w:cs="Times New Roman"/>
          <w:sz w:val="24"/>
          <w:szCs w:val="24"/>
          <w:lang w:eastAsia="zh-CN"/>
        </w:rPr>
        <w:t>址：北京市朝阳区安定路10号中国有色大厦北楼8层</w:t>
      </w:r>
    </w:p>
    <w:p>
      <w:pPr>
        <w:pStyle w:val="11"/>
        <w:tabs>
          <w:tab w:val="left" w:pos="4228"/>
          <w:tab w:val="left" w:pos="7990"/>
        </w:tabs>
        <w:spacing w:line="360" w:lineRule="auto"/>
        <w:ind w:right="865" w:firstLine="480" w:firstLineChars="200"/>
        <w:jc w:val="both"/>
        <w:rPr>
          <w:rFonts w:cs="Times New Roman"/>
          <w:sz w:val="24"/>
          <w:szCs w:val="24"/>
          <w:lang w:eastAsia="zh-CN"/>
        </w:rPr>
      </w:pPr>
      <w:r>
        <w:rPr>
          <w:rFonts w:cs="Times New Roman"/>
          <w:sz w:val="24"/>
          <w:szCs w:val="24"/>
          <w:lang w:eastAsia="zh-CN"/>
        </w:rPr>
        <w:t xml:space="preserve">邮   </w:t>
      </w:r>
      <w:r>
        <w:rPr>
          <w:rFonts w:cs="Times New Roman"/>
          <w:spacing w:val="5"/>
          <w:sz w:val="24"/>
          <w:szCs w:val="24"/>
          <w:lang w:eastAsia="zh-CN"/>
        </w:rPr>
        <w:t xml:space="preserve"> </w:t>
      </w:r>
      <w:r>
        <w:rPr>
          <w:rFonts w:cs="Times New Roman"/>
          <w:sz w:val="24"/>
          <w:szCs w:val="24"/>
          <w:lang w:eastAsia="zh-CN"/>
        </w:rPr>
        <w:t>编：100029</w:t>
      </w:r>
    </w:p>
    <w:p>
      <w:pPr>
        <w:pStyle w:val="11"/>
        <w:tabs>
          <w:tab w:val="left" w:pos="4228"/>
          <w:tab w:val="left" w:pos="7990"/>
        </w:tabs>
        <w:spacing w:line="360" w:lineRule="auto"/>
        <w:ind w:right="865" w:firstLine="480" w:firstLineChars="200"/>
        <w:jc w:val="both"/>
        <w:rPr>
          <w:rFonts w:cs="Times New Roman"/>
          <w:sz w:val="24"/>
          <w:szCs w:val="24"/>
          <w:lang w:eastAsia="zh-CN"/>
        </w:rPr>
      </w:pPr>
      <w:r>
        <w:rPr>
          <w:rFonts w:cs="Times New Roman"/>
          <w:sz w:val="24"/>
          <w:szCs w:val="24"/>
          <w:lang w:eastAsia="zh-CN"/>
        </w:rPr>
        <w:t>联系人：赵迪</w:t>
      </w:r>
    </w:p>
    <w:p>
      <w:pPr>
        <w:pStyle w:val="11"/>
        <w:tabs>
          <w:tab w:val="left" w:pos="4228"/>
          <w:tab w:val="left" w:pos="7990"/>
        </w:tabs>
        <w:spacing w:line="360" w:lineRule="auto"/>
        <w:ind w:right="865" w:firstLine="480" w:firstLineChars="200"/>
        <w:jc w:val="both"/>
        <w:rPr>
          <w:rFonts w:cs="Times New Roman"/>
          <w:sz w:val="24"/>
          <w:szCs w:val="24"/>
          <w:lang w:eastAsia="zh-CN"/>
        </w:rPr>
      </w:pPr>
      <w:r>
        <w:rPr>
          <w:rFonts w:cs="Times New Roman"/>
          <w:sz w:val="24"/>
          <w:szCs w:val="24"/>
          <w:lang w:eastAsia="zh-CN"/>
        </w:rPr>
        <w:t xml:space="preserve">电   </w:t>
      </w:r>
      <w:r>
        <w:rPr>
          <w:rFonts w:cs="Times New Roman"/>
          <w:spacing w:val="5"/>
          <w:sz w:val="24"/>
          <w:szCs w:val="24"/>
          <w:lang w:eastAsia="zh-CN"/>
        </w:rPr>
        <w:t xml:space="preserve"> </w:t>
      </w:r>
      <w:r>
        <w:rPr>
          <w:rFonts w:cs="Times New Roman"/>
          <w:sz w:val="24"/>
          <w:szCs w:val="24"/>
          <w:lang w:eastAsia="zh-CN"/>
        </w:rPr>
        <w:t>话：010-84427183</w:t>
      </w:r>
    </w:p>
    <w:p>
      <w:pPr>
        <w:pStyle w:val="11"/>
        <w:tabs>
          <w:tab w:val="left" w:pos="4228"/>
          <w:tab w:val="left" w:pos="7990"/>
        </w:tabs>
        <w:spacing w:line="360" w:lineRule="auto"/>
        <w:ind w:right="865" w:firstLine="480" w:firstLineChars="200"/>
        <w:jc w:val="both"/>
        <w:rPr>
          <w:rFonts w:cs="Times New Roman"/>
          <w:sz w:val="24"/>
          <w:szCs w:val="24"/>
          <w:lang w:eastAsia="zh-CN"/>
        </w:rPr>
      </w:pPr>
      <w:r>
        <w:rPr>
          <w:rFonts w:cs="Times New Roman"/>
          <w:sz w:val="24"/>
          <w:szCs w:val="24"/>
          <w:lang w:eastAsia="zh-CN"/>
        </w:rPr>
        <w:t>电子邮件：zhaodi@cnit.cnmc.com.cn</w:t>
      </w:r>
    </w:p>
    <w:p>
      <w:pPr>
        <w:pStyle w:val="11"/>
        <w:tabs>
          <w:tab w:val="left" w:pos="4228"/>
          <w:tab w:val="left" w:pos="7990"/>
        </w:tabs>
        <w:spacing w:line="360" w:lineRule="auto"/>
        <w:ind w:firstLine="480" w:firstLineChars="200"/>
        <w:jc w:val="both"/>
        <w:rPr>
          <w:rFonts w:cs="Times New Roman"/>
          <w:sz w:val="24"/>
          <w:szCs w:val="24"/>
          <w:lang w:eastAsia="zh-CN"/>
        </w:rPr>
      </w:pPr>
      <w:r>
        <w:rPr>
          <w:rFonts w:cs="Times New Roman"/>
          <w:sz w:val="24"/>
          <w:szCs w:val="24"/>
          <w:lang w:eastAsia="zh-CN"/>
        </w:rPr>
        <w:t>行政监督部门：中色国际贸易有限公司运营管理部</w:t>
      </w:r>
    </w:p>
    <w:p>
      <w:pPr>
        <w:pStyle w:val="11"/>
        <w:tabs>
          <w:tab w:val="left" w:pos="4228"/>
          <w:tab w:val="left" w:pos="7990"/>
        </w:tabs>
        <w:spacing w:line="360" w:lineRule="auto"/>
        <w:ind w:firstLine="480" w:firstLineChars="200"/>
        <w:jc w:val="both"/>
        <w:rPr>
          <w:rFonts w:cs="Times New Roman"/>
          <w:sz w:val="24"/>
          <w:szCs w:val="24"/>
          <w:lang w:eastAsia="zh-CN"/>
        </w:rPr>
      </w:pPr>
      <w:r>
        <w:rPr>
          <w:rFonts w:cs="Times New Roman"/>
          <w:sz w:val="24"/>
          <w:szCs w:val="24"/>
          <w:lang w:eastAsia="zh-CN"/>
        </w:rPr>
        <w:t>电话：010-84424801</w:t>
      </w:r>
    </w:p>
    <w:p>
      <w:pPr>
        <w:pStyle w:val="11"/>
        <w:tabs>
          <w:tab w:val="left" w:pos="4228"/>
          <w:tab w:val="left" w:pos="7990"/>
        </w:tabs>
        <w:spacing w:line="360" w:lineRule="auto"/>
        <w:ind w:right="865" w:firstLine="480" w:firstLineChars="200"/>
        <w:jc w:val="both"/>
        <w:rPr>
          <w:rFonts w:cs="Times New Roman"/>
          <w:sz w:val="24"/>
          <w:szCs w:val="24"/>
          <w:lang w:eastAsia="zh-CN"/>
        </w:rPr>
      </w:pPr>
      <w:r>
        <w:rPr>
          <w:rFonts w:cs="Times New Roman"/>
          <w:sz w:val="24"/>
          <w:szCs w:val="24"/>
          <w:lang w:eastAsia="zh-CN"/>
        </w:rPr>
        <w:t>平台运营方客服（平台操作解答）：4000809508</w:t>
      </w:r>
    </w:p>
    <w:p>
      <w:pPr>
        <w:spacing w:line="360" w:lineRule="auto"/>
        <w:jc w:val="both"/>
        <w:rPr>
          <w:rFonts w:cs="Times New Roman"/>
          <w:sz w:val="24"/>
          <w:szCs w:val="24"/>
          <w:lang w:eastAsia="zh-CN"/>
        </w:rPr>
      </w:pPr>
    </w:p>
    <w:p>
      <w:pPr>
        <w:pStyle w:val="11"/>
        <w:spacing w:line="360" w:lineRule="auto"/>
        <w:rPr>
          <w:rFonts w:cs="Times New Roman"/>
          <w:sz w:val="24"/>
          <w:szCs w:val="24"/>
          <w:lang w:eastAsia="zh-CN"/>
        </w:rPr>
      </w:pPr>
    </w:p>
    <w:p>
      <w:pPr>
        <w:pStyle w:val="11"/>
        <w:tabs>
          <w:tab w:val="left" w:pos="5520"/>
          <w:tab w:val="left" w:pos="6826"/>
          <w:tab w:val="left" w:pos="7769"/>
        </w:tabs>
        <w:spacing w:line="360" w:lineRule="auto"/>
        <w:ind w:right="102" w:firstLine="5498" w:firstLineChars="2291"/>
        <w:jc w:val="center"/>
        <w:rPr>
          <w:rFonts w:cs="Times New Roman"/>
          <w:sz w:val="24"/>
          <w:szCs w:val="24"/>
          <w:u w:val="single"/>
          <w:lang w:eastAsia="zh-CN"/>
        </w:rPr>
      </w:pPr>
      <w:r>
        <w:rPr>
          <w:rFonts w:cs="Times New Roman"/>
          <w:sz w:val="24"/>
          <w:szCs w:val="24"/>
          <w:lang w:eastAsia="zh-CN"/>
        </w:rPr>
        <w:t>招标代理机构：中色国际贸易有限公司</w:t>
      </w:r>
    </w:p>
    <w:p>
      <w:pPr>
        <w:pStyle w:val="11"/>
        <w:tabs>
          <w:tab w:val="left" w:pos="4228"/>
          <w:tab w:val="left" w:pos="7990"/>
        </w:tabs>
        <w:spacing w:line="360" w:lineRule="auto"/>
        <w:ind w:firstLine="5498" w:firstLineChars="2291"/>
        <w:jc w:val="center"/>
        <w:rPr>
          <w:rFonts w:ascii="Times New Roman" w:hAnsi="Times New Roman" w:cs="Times New Roman"/>
          <w:lang w:eastAsia="zh-CN"/>
        </w:rPr>
      </w:pPr>
      <w:r>
        <w:rPr>
          <w:rFonts w:cs="Times New Roman"/>
          <w:sz w:val="24"/>
          <w:szCs w:val="24"/>
          <w:lang w:eastAsia="zh-CN"/>
        </w:rPr>
        <w:t>2025年</w:t>
      </w:r>
      <w:r>
        <w:rPr>
          <w:rFonts w:hint="eastAsia" w:cs="Times New Roman"/>
          <w:sz w:val="24"/>
          <w:szCs w:val="24"/>
          <w:lang w:val="en-US" w:eastAsia="zh-CN"/>
        </w:rPr>
        <w:t>10</w:t>
      </w:r>
      <w:r>
        <w:rPr>
          <w:rFonts w:cs="Times New Roman"/>
          <w:sz w:val="24"/>
          <w:szCs w:val="24"/>
        </w:rPr>
        <w:t>月</w:t>
      </w:r>
      <w:r>
        <w:rPr>
          <w:rFonts w:hint="eastAsia" w:cs="Times New Roman"/>
          <w:sz w:val="24"/>
          <w:szCs w:val="24"/>
          <w:lang w:val="en-US" w:eastAsia="zh-CN"/>
        </w:rPr>
        <w:t>13</w:t>
      </w:r>
      <w:r>
        <w:rPr>
          <w:rFonts w:cs="Times New Roman"/>
          <w:sz w:val="24"/>
          <w:szCs w:val="24"/>
          <w:lang w:eastAsia="zh-CN"/>
        </w:rPr>
        <w:t>日</w:t>
      </w:r>
      <w:bookmarkEnd w:id="26"/>
      <w:bookmarkStart w:id="27" w:name="_GoBack"/>
      <w:bookmarkEnd w:id="27"/>
    </w:p>
    <w:sectPr>
      <w:headerReference r:id="rId3" w:type="default"/>
      <w:footerReference r:id="rId4" w:type="default"/>
      <w:pgSz w:w="12240" w:h="15840"/>
      <w:pgMar w:top="1440" w:right="1080" w:bottom="1440" w:left="1080" w:header="0" w:footer="921"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spacing w:line="14" w:lineRule="auto"/>
      <w:ind w:firstLine="400"/>
      <w:rPr>
        <w:sz w:val="20"/>
      </w:rPr>
    </w:pPr>
    <w:r>
      <w:rPr>
        <w:sz w:val="20"/>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105" name="文本框 12"/>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21"/>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96</w:t>
                          </w:r>
                          <w:r>
                            <w:rPr>
                              <w:rFonts w:hint="eastAsia"/>
                              <w:lang w:eastAsia="zh-CN"/>
                            </w:rPr>
                            <w:fldChar w:fldCharType="end"/>
                          </w:r>
                        </w:p>
                      </w:txbxContent>
                    </wps:txbx>
                    <wps:bodyPr vert="horz" wrap="none" lIns="0" tIns="0" rIns="0" bIns="0" anchor="t">
                      <a:spAutoFit/>
                    </wps:bodyPr>
                  </wps:wsp>
                </a:graphicData>
              </a:graphic>
            </wp:anchor>
          </w:drawing>
        </mc:Choice>
        <mc:Fallback>
          <w:pict>
            <v:rect id="文本框 12"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uXW5UtAAAAAFAQAA&#10;DwAAAAAAAAABACAAAAAiAAAAZHJzL2Rvd25yZXYueG1sUEsBAhQAFAAAAAgAh07iQIVmHVSvAQAA&#10;RQMAAA4AAAAAAAAAAQAgAAAAHwEAAGRycy9lMm9Eb2MueG1sUEsFBgAAAAAGAAYAWQEAAEAFAAAA&#10;AA==&#10;">
              <v:fill on="f" focussize="0,0"/>
              <v:stroke on="f"/>
              <v:imagedata o:title=""/>
              <o:lock v:ext="edit" aspectratio="f"/>
              <v:textbox inset="0mm,0mm,0mm,0mm" style="mso-fit-shape-to-text:t;">
                <w:txbxContent>
                  <w:p>
                    <w:pPr>
                      <w:pStyle w:val="21"/>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96</w:t>
                    </w:r>
                    <w:r>
                      <w:rPr>
                        <w:rFonts w:hint="eastAsia"/>
                        <w:lang w:eastAsia="zh-CN"/>
                      </w:rP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none" w:color="auto" w:sz="0" w:space="1"/>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6"/>
    <w:multiLevelType w:val="multilevel"/>
    <w:tmpl w:val="00000016"/>
    <w:lvl w:ilvl="0" w:tentative="0">
      <w:start w:val="1"/>
      <w:numFmt w:val="decimal"/>
      <w:pStyle w:val="50"/>
      <w:suff w:val="space"/>
      <w:lvlText w:val="%1."/>
      <w:lvlJc w:val="left"/>
      <w:pPr>
        <w:ind w:left="425" w:hanging="425"/>
      </w:pPr>
    </w:lvl>
    <w:lvl w:ilvl="1" w:tentative="0">
      <w:start w:val="1"/>
      <w:numFmt w:val="decimal"/>
      <w:pStyle w:val="51"/>
      <w:suff w:val="space"/>
      <w:lvlText w:val="%1.%2."/>
      <w:lvlJc w:val="left"/>
      <w:pPr>
        <w:ind w:left="787" w:hanging="567"/>
      </w:pPr>
    </w:lvl>
    <w:lvl w:ilvl="2" w:tentative="0">
      <w:start w:val="1"/>
      <w:numFmt w:val="decimal"/>
      <w:pStyle w:val="54"/>
      <w:suff w:val="space"/>
      <w:lvlText w:val="%1.%2.%3."/>
      <w:lvlJc w:val="left"/>
      <w:pPr>
        <w:ind w:left="709" w:hanging="709"/>
      </w:pPr>
    </w:lvl>
    <w:lvl w:ilvl="3" w:tentative="0">
      <w:start w:val="1"/>
      <w:numFmt w:val="decimal"/>
      <w:pStyle w:val="55"/>
      <w:suff w:val="space"/>
      <w:lvlText w:val="%1.%2.%3.%4."/>
      <w:lvlJc w:val="left"/>
      <w:pPr>
        <w:ind w:left="2695" w:hanging="851"/>
      </w:pPr>
    </w:lvl>
    <w:lvl w:ilvl="4" w:tentative="0">
      <w:start w:val="1"/>
      <w:numFmt w:val="decimal"/>
      <w:suff w:val="space"/>
      <w:lvlText w:val="%1.%2.%3.%4.%5."/>
      <w:lvlJc w:val="left"/>
      <w:pPr>
        <w:ind w:left="992" w:hanging="992"/>
      </w:pPr>
      <w:rPr>
        <w:rFonts w:hint="eastAsia"/>
      </w:rPr>
    </w:lvl>
    <w:lvl w:ilvl="5" w:tentative="0">
      <w:start w:val="1"/>
      <w:numFmt w:val="decimal"/>
      <w:suff w:val="space"/>
      <w:lvlText w:val="%1.%2.%3.%4.%5.%6."/>
      <w:lvlJc w:val="left"/>
      <w:pPr>
        <w:ind w:left="1134" w:hanging="1134"/>
      </w:pPr>
      <w:rPr>
        <w:rFonts w:hint="eastAsia"/>
      </w:rPr>
    </w:lvl>
    <w:lvl w:ilvl="6" w:tentative="0">
      <w:start w:val="1"/>
      <w:numFmt w:val="decimal"/>
      <w:suff w:val="space"/>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
    <w:nsid w:val="00000017"/>
    <w:multiLevelType w:val="singleLevel"/>
    <w:tmpl w:val="00000017"/>
    <w:lvl w:ilvl="0" w:tentative="0">
      <w:start w:val="2"/>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removePersonalInformation/>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6A353E7"/>
    <w:rsid w:val="57545CA7"/>
    <w:rsid w:val="5F4B24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99"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pacing w:after="160" w:line="278" w:lineRule="auto"/>
    </w:pPr>
    <w:rPr>
      <w:rFonts w:ascii="Times New Roman" w:hAnsi="Times New Roman" w:eastAsia="宋体" w:cs="宋体"/>
      <w:sz w:val="22"/>
      <w:szCs w:val="22"/>
      <w:lang w:val="en-US" w:eastAsia="en-US" w:bidi="ar-SA"/>
    </w:rPr>
  </w:style>
  <w:style w:type="paragraph" w:styleId="2">
    <w:name w:val="heading 1"/>
    <w:basedOn w:val="1"/>
    <w:next w:val="1"/>
    <w:qFormat/>
    <w:uiPriority w:val="1"/>
    <w:pPr>
      <w:spacing w:line="590" w:lineRule="exact"/>
      <w:ind w:left="3"/>
      <w:outlineLvl w:val="0"/>
    </w:pPr>
    <w:rPr>
      <w:rFonts w:ascii="Microsoft JhengHei" w:hAnsi="Microsoft JhengHei" w:eastAsia="Microsoft JhengHei" w:cs="Microsoft JhengHei"/>
      <w:b/>
      <w:bCs/>
      <w:sz w:val="44"/>
      <w:szCs w:val="44"/>
    </w:rPr>
  </w:style>
  <w:style w:type="paragraph" w:styleId="3">
    <w:name w:val="heading 2"/>
    <w:basedOn w:val="1"/>
    <w:next w:val="1"/>
    <w:qFormat/>
    <w:uiPriority w:val="1"/>
    <w:pPr>
      <w:ind w:left="100" w:right="102"/>
      <w:outlineLvl w:val="1"/>
    </w:pPr>
    <w:rPr>
      <w:rFonts w:ascii="Microsoft JhengHei" w:hAnsi="Microsoft JhengHei" w:cs="Microsoft JhengHei"/>
      <w:b/>
      <w:bCs/>
      <w:sz w:val="24"/>
      <w:szCs w:val="32"/>
    </w:rPr>
  </w:style>
  <w:style w:type="paragraph" w:styleId="4">
    <w:name w:val="heading 3"/>
    <w:basedOn w:val="1"/>
    <w:next w:val="1"/>
    <w:qFormat/>
    <w:uiPriority w:val="1"/>
    <w:pPr>
      <w:spacing w:line="360" w:lineRule="auto"/>
      <w:ind w:firstLine="560" w:firstLineChars="200"/>
      <w:outlineLvl w:val="2"/>
    </w:pPr>
    <w:rPr>
      <w:rFonts w:cs="Times New Roman"/>
      <w:b/>
      <w:sz w:val="24"/>
      <w:szCs w:val="24"/>
      <w:lang w:eastAsia="zh-CN"/>
    </w:rPr>
  </w:style>
  <w:style w:type="paragraph" w:styleId="5">
    <w:name w:val="heading 4"/>
    <w:basedOn w:val="1"/>
    <w:next w:val="1"/>
    <w:qFormat/>
    <w:uiPriority w:val="1"/>
    <w:pPr>
      <w:spacing w:line="360" w:lineRule="auto"/>
      <w:outlineLvl w:val="3"/>
    </w:pPr>
    <w:rPr>
      <w:rFonts w:cs="Times New Roman"/>
      <w:b/>
      <w:bCs/>
      <w:sz w:val="24"/>
      <w:szCs w:val="24"/>
    </w:rPr>
  </w:style>
  <w:style w:type="character" w:default="1" w:styleId="31">
    <w:name w:val="Default Paragraph Font"/>
    <w:qFormat/>
    <w:uiPriority w:val="1"/>
  </w:style>
  <w:style w:type="table" w:default="1" w:styleId="35">
    <w:name w:val="Normal Table"/>
    <w:qFormat/>
    <w:uiPriority w:val="99"/>
    <w:tblPr>
      <w:tblLayout w:type="fixed"/>
      <w:tblCellMar>
        <w:top w:w="0" w:type="dxa"/>
        <w:left w:w="108" w:type="dxa"/>
        <w:bottom w:w="0" w:type="dxa"/>
        <w:right w:w="108" w:type="dxa"/>
      </w:tblCellMar>
    </w:tblPr>
  </w:style>
  <w:style w:type="paragraph" w:styleId="6">
    <w:name w:val="List 3"/>
    <w:basedOn w:val="1"/>
    <w:qFormat/>
    <w:uiPriority w:val="99"/>
    <w:pPr>
      <w:ind w:left="100" w:leftChars="400" w:hanging="200" w:hangingChars="200"/>
      <w:jc w:val="both"/>
    </w:pPr>
    <w:rPr>
      <w:rFonts w:ascii="Arial" w:hAnsi="Arial" w:cs="Times New Roman"/>
      <w:sz w:val="20"/>
      <w:szCs w:val="20"/>
      <w:lang w:eastAsia="zh-CN"/>
    </w:rPr>
  </w:style>
  <w:style w:type="paragraph" w:styleId="7">
    <w:name w:val="annotation subject"/>
    <w:basedOn w:val="8"/>
    <w:next w:val="8"/>
    <w:link w:val="47"/>
    <w:qFormat/>
    <w:uiPriority w:val="0"/>
    <w:rPr>
      <w:b/>
      <w:bCs/>
    </w:rPr>
  </w:style>
  <w:style w:type="paragraph" w:styleId="8">
    <w:name w:val="annotation text"/>
    <w:basedOn w:val="1"/>
    <w:link w:val="46"/>
    <w:qFormat/>
    <w:uiPriority w:val="0"/>
  </w:style>
  <w:style w:type="paragraph" w:styleId="9">
    <w:name w:val="toc 7"/>
    <w:basedOn w:val="1"/>
    <w:next w:val="1"/>
    <w:qFormat/>
    <w:uiPriority w:val="39"/>
    <w:pPr>
      <w:ind w:left="2520" w:leftChars="1200"/>
      <w:jc w:val="both"/>
    </w:pPr>
    <w:rPr>
      <w:rFonts w:ascii="Calibri" w:hAnsi="Calibri" w:eastAsia="宋体" w:cs="宋体"/>
      <w:kern w:val="2"/>
      <w:sz w:val="21"/>
      <w:lang w:eastAsia="zh-CN"/>
    </w:rPr>
  </w:style>
  <w:style w:type="paragraph" w:styleId="10">
    <w:name w:val="Body Text First Indent"/>
    <w:basedOn w:val="11"/>
    <w:qFormat/>
    <w:uiPriority w:val="99"/>
    <w:pPr>
      <w:spacing w:after="120"/>
      <w:ind w:firstLine="420" w:firstLineChars="100"/>
    </w:pPr>
    <w:rPr>
      <w:rFonts w:ascii="Arial" w:hAnsi="Arial"/>
      <w:sz w:val="20"/>
      <w:szCs w:val="20"/>
    </w:rPr>
  </w:style>
  <w:style w:type="paragraph" w:styleId="11">
    <w:name w:val="Body Text"/>
    <w:basedOn w:val="1"/>
    <w:next w:val="12"/>
    <w:qFormat/>
    <w:uiPriority w:val="1"/>
    <w:rPr>
      <w:sz w:val="21"/>
      <w:szCs w:val="21"/>
    </w:rPr>
  </w:style>
  <w:style w:type="paragraph" w:customStyle="1" w:styleId="12">
    <w:name w:val="普通(网站)1"/>
    <w:basedOn w:val="1"/>
    <w:qFormat/>
    <w:uiPriority w:val="0"/>
    <w:pPr>
      <w:spacing w:line="360" w:lineRule="auto"/>
    </w:pPr>
    <w:rPr>
      <w:sz w:val="24"/>
    </w:rPr>
  </w:style>
  <w:style w:type="paragraph" w:styleId="13">
    <w:name w:val="Normal Indent"/>
    <w:basedOn w:val="1"/>
    <w:qFormat/>
    <w:uiPriority w:val="0"/>
    <w:pPr>
      <w:adjustRightInd w:val="0"/>
      <w:spacing w:line="410" w:lineRule="atLeast"/>
      <w:ind w:firstLine="420"/>
      <w:textAlignment w:val="baseline"/>
    </w:pPr>
  </w:style>
  <w:style w:type="paragraph" w:styleId="14">
    <w:name w:val="Body Text Indent"/>
    <w:basedOn w:val="1"/>
    <w:next w:val="11"/>
    <w:qFormat/>
    <w:uiPriority w:val="99"/>
    <w:pPr>
      <w:spacing w:after="120"/>
      <w:ind w:left="420" w:leftChars="200"/>
      <w:jc w:val="both"/>
    </w:pPr>
    <w:rPr>
      <w:rFonts w:cs="Times New Roman"/>
      <w:kern w:val="2"/>
      <w:sz w:val="21"/>
      <w:szCs w:val="20"/>
      <w:lang w:eastAsia="zh-CN"/>
    </w:rPr>
  </w:style>
  <w:style w:type="paragraph" w:styleId="15">
    <w:name w:val="toc 5"/>
    <w:basedOn w:val="1"/>
    <w:next w:val="1"/>
    <w:qFormat/>
    <w:uiPriority w:val="39"/>
    <w:pPr>
      <w:ind w:left="1680" w:leftChars="800"/>
      <w:jc w:val="both"/>
    </w:pPr>
    <w:rPr>
      <w:rFonts w:ascii="Calibri" w:hAnsi="Calibri" w:eastAsia="宋体" w:cs="宋体"/>
      <w:kern w:val="2"/>
      <w:sz w:val="21"/>
      <w:lang w:eastAsia="zh-CN"/>
    </w:rPr>
  </w:style>
  <w:style w:type="paragraph" w:styleId="16">
    <w:name w:val="toc 3"/>
    <w:basedOn w:val="1"/>
    <w:next w:val="1"/>
    <w:qFormat/>
    <w:uiPriority w:val="39"/>
    <w:pPr>
      <w:spacing w:line="272" w:lineRule="exact"/>
      <w:ind w:left="940"/>
    </w:pPr>
    <w:rPr>
      <w:sz w:val="21"/>
      <w:szCs w:val="21"/>
    </w:rPr>
  </w:style>
  <w:style w:type="paragraph" w:styleId="17">
    <w:name w:val="Plain Text"/>
    <w:basedOn w:val="1"/>
    <w:qFormat/>
    <w:uiPriority w:val="0"/>
    <w:rPr>
      <w:rFonts w:hAnsi="Courier New"/>
    </w:rPr>
  </w:style>
  <w:style w:type="paragraph" w:styleId="18">
    <w:name w:val="toc 8"/>
    <w:basedOn w:val="1"/>
    <w:next w:val="1"/>
    <w:qFormat/>
    <w:uiPriority w:val="39"/>
    <w:pPr>
      <w:ind w:left="2940" w:leftChars="1400"/>
      <w:jc w:val="both"/>
    </w:pPr>
    <w:rPr>
      <w:rFonts w:ascii="Calibri" w:hAnsi="Calibri" w:eastAsia="宋体" w:cs="宋体"/>
      <w:kern w:val="2"/>
      <w:sz w:val="21"/>
      <w:lang w:eastAsia="zh-CN"/>
    </w:rPr>
  </w:style>
  <w:style w:type="paragraph" w:styleId="19">
    <w:name w:val="Body Text Indent 2"/>
    <w:basedOn w:val="1"/>
    <w:qFormat/>
    <w:uiPriority w:val="0"/>
    <w:pPr>
      <w:spacing w:line="560" w:lineRule="exact"/>
    </w:pPr>
  </w:style>
  <w:style w:type="paragraph" w:styleId="20">
    <w:name w:val="Balloon Text"/>
    <w:basedOn w:val="1"/>
    <w:link w:val="48"/>
    <w:qFormat/>
    <w:uiPriority w:val="0"/>
    <w:rPr>
      <w:sz w:val="18"/>
      <w:szCs w:val="18"/>
    </w:rPr>
  </w:style>
  <w:style w:type="paragraph" w:styleId="21">
    <w:name w:val="footer"/>
    <w:basedOn w:val="1"/>
    <w:link w:val="41"/>
    <w:qFormat/>
    <w:uiPriority w:val="99"/>
    <w:pPr>
      <w:tabs>
        <w:tab w:val="center" w:pos="4153"/>
        <w:tab w:val="right" w:pos="8306"/>
      </w:tabs>
      <w:snapToGrid w:val="0"/>
    </w:pPr>
    <w:rPr>
      <w:sz w:val="18"/>
      <w:szCs w:val="18"/>
    </w:rPr>
  </w:style>
  <w:style w:type="paragraph" w:styleId="22">
    <w:name w:val="Body Text First Indent 2"/>
    <w:basedOn w:val="14"/>
    <w:next w:val="10"/>
    <w:qFormat/>
    <w:uiPriority w:val="0"/>
    <w:pPr>
      <w:spacing w:line="360" w:lineRule="auto"/>
      <w:ind w:left="0" w:leftChars="0" w:firstLine="420"/>
    </w:pPr>
    <w:rPr>
      <w:rFonts w:ascii="宋体" w:hAnsi="宋体"/>
      <w:sz w:val="24"/>
      <w:szCs w:val="24"/>
    </w:rPr>
  </w:style>
  <w:style w:type="paragraph" w:styleId="23">
    <w:name w:val="header"/>
    <w:basedOn w:val="1"/>
    <w:link w:val="40"/>
    <w:qFormat/>
    <w:uiPriority w:val="99"/>
    <w:pPr>
      <w:pBdr>
        <w:bottom w:val="single" w:color="auto" w:sz="6" w:space="1"/>
      </w:pBdr>
      <w:tabs>
        <w:tab w:val="center" w:pos="4153"/>
        <w:tab w:val="right" w:pos="8306"/>
      </w:tabs>
      <w:snapToGrid w:val="0"/>
      <w:jc w:val="center"/>
    </w:pPr>
    <w:rPr>
      <w:sz w:val="18"/>
      <w:szCs w:val="18"/>
    </w:rPr>
  </w:style>
  <w:style w:type="paragraph" w:styleId="24">
    <w:name w:val="toc 1"/>
    <w:basedOn w:val="1"/>
    <w:next w:val="1"/>
    <w:qFormat/>
    <w:uiPriority w:val="39"/>
    <w:pPr>
      <w:spacing w:line="272" w:lineRule="exact"/>
      <w:ind w:left="100"/>
    </w:pPr>
    <w:rPr>
      <w:sz w:val="21"/>
      <w:szCs w:val="21"/>
    </w:rPr>
  </w:style>
  <w:style w:type="paragraph" w:styleId="25">
    <w:name w:val="toc 4"/>
    <w:basedOn w:val="1"/>
    <w:next w:val="1"/>
    <w:qFormat/>
    <w:uiPriority w:val="39"/>
    <w:pPr>
      <w:ind w:left="1260" w:leftChars="600"/>
      <w:jc w:val="both"/>
    </w:pPr>
    <w:rPr>
      <w:rFonts w:ascii="Calibri" w:hAnsi="Calibri" w:eastAsia="宋体" w:cs="宋体"/>
      <w:kern w:val="2"/>
      <w:sz w:val="21"/>
      <w:lang w:eastAsia="zh-CN"/>
    </w:rPr>
  </w:style>
  <w:style w:type="paragraph" w:styleId="26">
    <w:name w:val="toc 6"/>
    <w:basedOn w:val="1"/>
    <w:next w:val="1"/>
    <w:qFormat/>
    <w:uiPriority w:val="39"/>
    <w:pPr>
      <w:ind w:left="2100" w:leftChars="1000"/>
      <w:jc w:val="both"/>
    </w:pPr>
    <w:rPr>
      <w:rFonts w:ascii="Calibri" w:hAnsi="Calibri" w:eastAsia="宋体" w:cs="宋体"/>
      <w:kern w:val="2"/>
      <w:sz w:val="21"/>
      <w:lang w:eastAsia="zh-CN"/>
    </w:rPr>
  </w:style>
  <w:style w:type="paragraph" w:styleId="27">
    <w:name w:val="toc 2"/>
    <w:basedOn w:val="1"/>
    <w:next w:val="1"/>
    <w:qFormat/>
    <w:uiPriority w:val="39"/>
    <w:pPr>
      <w:spacing w:line="272" w:lineRule="exact"/>
      <w:ind w:left="520"/>
    </w:pPr>
    <w:rPr>
      <w:sz w:val="21"/>
      <w:szCs w:val="21"/>
    </w:rPr>
  </w:style>
  <w:style w:type="paragraph" w:styleId="28">
    <w:name w:val="toc 9"/>
    <w:basedOn w:val="1"/>
    <w:next w:val="1"/>
    <w:qFormat/>
    <w:uiPriority w:val="39"/>
    <w:pPr>
      <w:ind w:left="3360" w:leftChars="1600"/>
      <w:jc w:val="both"/>
    </w:pPr>
    <w:rPr>
      <w:rFonts w:ascii="Calibri" w:hAnsi="Calibri" w:eastAsia="宋体" w:cs="宋体"/>
      <w:kern w:val="2"/>
      <w:sz w:val="21"/>
      <w:lang w:eastAsia="zh-CN"/>
    </w:rPr>
  </w:style>
  <w:style w:type="paragraph" w:styleId="29">
    <w:name w:val="Body Text 2"/>
    <w:basedOn w:val="1"/>
    <w:next w:val="11"/>
    <w:qFormat/>
    <w:uiPriority w:val="0"/>
    <w:pPr>
      <w:spacing w:after="120" w:line="480" w:lineRule="auto"/>
    </w:pPr>
  </w:style>
  <w:style w:type="paragraph" w:styleId="30">
    <w:name w:val="Normal (Web)"/>
    <w:basedOn w:val="1"/>
    <w:qFormat/>
    <w:uiPriority w:val="0"/>
    <w:pPr>
      <w:spacing w:before="0" w:beforeAutospacing="1" w:after="0" w:afterAutospacing="1"/>
      <w:ind w:left="0" w:right="0"/>
      <w:jc w:val="left"/>
    </w:pPr>
    <w:rPr>
      <w:kern w:val="0"/>
      <w:sz w:val="24"/>
      <w:lang w:val="en-US" w:eastAsia="zh-CN"/>
    </w:rPr>
  </w:style>
  <w:style w:type="character" w:styleId="32">
    <w:name w:val="Strong"/>
    <w:basedOn w:val="31"/>
    <w:qFormat/>
    <w:uiPriority w:val="0"/>
    <w:rPr>
      <w:b/>
    </w:rPr>
  </w:style>
  <w:style w:type="character" w:styleId="33">
    <w:name w:val="Hyperlink"/>
    <w:basedOn w:val="31"/>
    <w:qFormat/>
    <w:uiPriority w:val="99"/>
    <w:rPr>
      <w:color w:val="0000FF"/>
      <w:u w:val="single"/>
    </w:rPr>
  </w:style>
  <w:style w:type="character" w:styleId="34">
    <w:name w:val="annotation reference"/>
    <w:basedOn w:val="31"/>
    <w:qFormat/>
    <w:uiPriority w:val="0"/>
    <w:rPr>
      <w:sz w:val="21"/>
      <w:szCs w:val="21"/>
    </w:rPr>
  </w:style>
  <w:style w:type="table" w:styleId="36">
    <w:name w:val="Table Grid"/>
    <w:basedOn w:val="3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37">
    <w:name w:val="Table Normal"/>
    <w:qFormat/>
    <w:uiPriority w:val="0"/>
    <w:tblPr>
      <w:tblLayout w:type="fixed"/>
      <w:tblCellMar>
        <w:top w:w="0" w:type="dxa"/>
        <w:left w:w="0" w:type="dxa"/>
        <w:bottom w:w="0" w:type="dxa"/>
        <w:right w:w="0" w:type="dxa"/>
      </w:tblCellMar>
    </w:tblPr>
  </w:style>
  <w:style w:type="paragraph" w:styleId="38">
    <w:name w:val="List Paragraph"/>
    <w:basedOn w:val="1"/>
    <w:qFormat/>
    <w:uiPriority w:val="34"/>
  </w:style>
  <w:style w:type="paragraph" w:customStyle="1" w:styleId="39">
    <w:name w:val="Table Paragraph"/>
    <w:basedOn w:val="1"/>
    <w:qFormat/>
    <w:uiPriority w:val="1"/>
    <w:pPr>
      <w:adjustRightInd w:val="0"/>
      <w:snapToGrid w:val="0"/>
    </w:pPr>
  </w:style>
  <w:style w:type="character" w:customStyle="1" w:styleId="40">
    <w:name w:val="页眉 字符"/>
    <w:basedOn w:val="31"/>
    <w:link w:val="23"/>
    <w:qFormat/>
    <w:uiPriority w:val="99"/>
    <w:rPr>
      <w:rFonts w:ascii="宋体" w:hAnsi="宋体" w:cs="宋体"/>
      <w:sz w:val="18"/>
      <w:szCs w:val="18"/>
      <w:lang w:eastAsia="en-US"/>
    </w:rPr>
  </w:style>
  <w:style w:type="character" w:customStyle="1" w:styleId="41">
    <w:name w:val="页脚 字符"/>
    <w:basedOn w:val="31"/>
    <w:link w:val="21"/>
    <w:qFormat/>
    <w:uiPriority w:val="99"/>
    <w:rPr>
      <w:rFonts w:ascii="宋体" w:hAnsi="宋体" w:cs="宋体"/>
      <w:sz w:val="18"/>
      <w:szCs w:val="18"/>
      <w:lang w:eastAsia="en-US"/>
    </w:rPr>
  </w:style>
  <w:style w:type="paragraph" w:customStyle="1" w:styleId="42">
    <w:name w:val="列出段落1"/>
    <w:basedOn w:val="1"/>
    <w:link w:val="43"/>
    <w:qFormat/>
    <w:uiPriority w:val="99"/>
    <w:pPr>
      <w:ind w:firstLine="420" w:firstLineChars="200"/>
      <w:jc w:val="both"/>
    </w:pPr>
    <w:rPr>
      <w:rFonts w:ascii="Calibri" w:hAnsi="Calibri" w:cs="Times New Roman"/>
      <w:kern w:val="2"/>
      <w:sz w:val="21"/>
      <w:lang w:eastAsia="zh-CN"/>
    </w:rPr>
  </w:style>
  <w:style w:type="character" w:customStyle="1" w:styleId="43">
    <w:name w:val="列表段落 字符"/>
    <w:basedOn w:val="31"/>
    <w:link w:val="42"/>
    <w:qFormat/>
    <w:uiPriority w:val="99"/>
    <w:rPr>
      <w:rFonts w:ascii="Calibri" w:hAnsi="Calibri"/>
      <w:kern w:val="2"/>
      <w:sz w:val="21"/>
      <w:szCs w:val="22"/>
    </w:rPr>
  </w:style>
  <w:style w:type="character" w:customStyle="1" w:styleId="44">
    <w:name w:val="未处理的提及1"/>
    <w:basedOn w:val="31"/>
    <w:qFormat/>
    <w:uiPriority w:val="99"/>
    <w:rPr>
      <w:color w:val="605E5C"/>
      <w:shd w:val="clear" w:color="auto" w:fill="E1DFDD"/>
    </w:rPr>
  </w:style>
  <w:style w:type="paragraph" w:customStyle="1" w:styleId="45">
    <w:name w:val="TOC 标题1"/>
    <w:basedOn w:val="2"/>
    <w:next w:val="1"/>
    <w:qFormat/>
    <w:uiPriority w:val="39"/>
    <w:pPr>
      <w:keepNext/>
      <w:keepLines/>
      <w:widowControl/>
      <w:spacing w:before="240" w:line="259" w:lineRule="auto"/>
      <w:ind w:left="0"/>
      <w:outlineLvl w:val="9"/>
    </w:pPr>
    <w:rPr>
      <w:rFonts w:ascii="Cambria" w:hAnsi="Cambria" w:eastAsia="宋体" w:cs="宋体"/>
      <w:b w:val="0"/>
      <w:bCs w:val="0"/>
      <w:color w:val="376092"/>
      <w:sz w:val="32"/>
      <w:szCs w:val="32"/>
      <w:lang w:eastAsia="zh-CN"/>
    </w:rPr>
  </w:style>
  <w:style w:type="character" w:customStyle="1" w:styleId="46">
    <w:name w:val="批注文字 字符"/>
    <w:basedOn w:val="31"/>
    <w:link w:val="8"/>
    <w:qFormat/>
    <w:uiPriority w:val="0"/>
    <w:rPr>
      <w:rFonts w:ascii="宋体" w:hAnsi="宋体" w:eastAsia="宋体" w:cs="宋体"/>
      <w:sz w:val="22"/>
      <w:szCs w:val="22"/>
      <w:lang w:eastAsia="en-US"/>
    </w:rPr>
  </w:style>
  <w:style w:type="character" w:customStyle="1" w:styleId="47">
    <w:name w:val="批注主题 字符"/>
    <w:basedOn w:val="46"/>
    <w:link w:val="7"/>
    <w:qFormat/>
    <w:uiPriority w:val="0"/>
    <w:rPr>
      <w:rFonts w:ascii="宋体" w:hAnsi="宋体" w:eastAsia="宋体" w:cs="宋体"/>
      <w:b/>
      <w:bCs/>
      <w:sz w:val="22"/>
      <w:szCs w:val="22"/>
      <w:lang w:eastAsia="en-US"/>
    </w:rPr>
  </w:style>
  <w:style w:type="character" w:customStyle="1" w:styleId="48">
    <w:name w:val="批注框文本 字符"/>
    <w:basedOn w:val="31"/>
    <w:link w:val="20"/>
    <w:qFormat/>
    <w:uiPriority w:val="0"/>
    <w:rPr>
      <w:rFonts w:ascii="宋体" w:hAnsi="宋体" w:eastAsia="宋体" w:cs="宋体"/>
      <w:sz w:val="18"/>
      <w:szCs w:val="18"/>
      <w:lang w:eastAsia="en-US"/>
    </w:rPr>
  </w:style>
  <w:style w:type="character" w:customStyle="1" w:styleId="49">
    <w:name w:val="font21"/>
    <w:basedOn w:val="31"/>
    <w:qFormat/>
    <w:uiPriority w:val="0"/>
    <w:rPr>
      <w:rFonts w:hint="default" w:ascii="Times New Roman" w:hAnsi="Times New Roman" w:cs="Times New Roman"/>
      <w:color w:val="000000"/>
      <w:sz w:val="18"/>
      <w:szCs w:val="18"/>
      <w:u w:val="none"/>
    </w:rPr>
  </w:style>
  <w:style w:type="paragraph" w:customStyle="1" w:styleId="50">
    <w:name w:val="1级格式"/>
    <w:basedOn w:val="38"/>
    <w:qFormat/>
    <w:uiPriority w:val="0"/>
    <w:pPr>
      <w:widowControl/>
      <w:numPr>
        <w:ilvl w:val="0"/>
        <w:numId w:val="1"/>
      </w:numPr>
      <w:tabs>
        <w:tab w:val="left" w:pos="425"/>
      </w:tabs>
      <w:spacing w:before="100" w:beforeLines="100" w:after="50" w:afterLines="50" w:line="360" w:lineRule="auto"/>
      <w:ind w:firstLine="0"/>
      <w:jc w:val="center"/>
      <w:outlineLvl w:val="0"/>
    </w:pPr>
    <w:rPr>
      <w:b/>
      <w:bCs/>
      <w:sz w:val="30"/>
      <w:szCs w:val="44"/>
    </w:rPr>
  </w:style>
  <w:style w:type="paragraph" w:customStyle="1" w:styleId="51">
    <w:name w:val="2级格式"/>
    <w:basedOn w:val="38"/>
    <w:qFormat/>
    <w:uiPriority w:val="0"/>
    <w:pPr>
      <w:widowControl/>
      <w:numPr>
        <w:ilvl w:val="1"/>
        <w:numId w:val="1"/>
      </w:numPr>
      <w:tabs>
        <w:tab w:val="left" w:pos="850"/>
      </w:tabs>
      <w:spacing w:before="50" w:beforeLines="50" w:after="50" w:afterLines="50" w:line="360" w:lineRule="auto"/>
      <w:ind w:firstLine="0"/>
      <w:outlineLvl w:val="1"/>
    </w:pPr>
    <w:rPr>
      <w:b/>
      <w:bCs/>
      <w:sz w:val="24"/>
      <w:szCs w:val="36"/>
    </w:rPr>
  </w:style>
  <w:style w:type="paragraph" w:customStyle="1" w:styleId="52">
    <w:name w:val="正文缩进1"/>
    <w:basedOn w:val="1"/>
    <w:qFormat/>
    <w:uiPriority w:val="0"/>
    <w:pPr>
      <w:spacing w:line="360" w:lineRule="auto"/>
      <w:ind w:firstLine="420" w:firstLineChars="200"/>
    </w:pPr>
    <w:rPr>
      <w:sz w:val="24"/>
    </w:rPr>
  </w:style>
  <w:style w:type="paragraph" w:customStyle="1" w:styleId="53">
    <w:name w:val="5正文"/>
    <w:basedOn w:val="1"/>
    <w:qFormat/>
    <w:uiPriority w:val="0"/>
    <w:pPr>
      <w:spacing w:line="360" w:lineRule="auto"/>
      <w:ind w:firstLine="480" w:firstLineChars="200"/>
    </w:pPr>
    <w:rPr>
      <w:sz w:val="24"/>
    </w:rPr>
  </w:style>
  <w:style w:type="paragraph" w:customStyle="1" w:styleId="54">
    <w:name w:val="3级格式"/>
    <w:basedOn w:val="38"/>
    <w:qFormat/>
    <w:uiPriority w:val="0"/>
    <w:pPr>
      <w:widowControl/>
      <w:numPr>
        <w:ilvl w:val="2"/>
        <w:numId w:val="1"/>
      </w:numPr>
      <w:tabs>
        <w:tab w:val="left" w:pos="1508"/>
      </w:tabs>
      <w:spacing w:before="156" w:beforeLines="50" w:line="360" w:lineRule="auto"/>
      <w:ind w:right="100" w:rightChars="100" w:firstLine="0"/>
      <w:outlineLvl w:val="2"/>
    </w:pPr>
    <w:rPr>
      <w:b/>
      <w:bCs/>
      <w:sz w:val="24"/>
      <w:szCs w:val="32"/>
    </w:rPr>
  </w:style>
  <w:style w:type="paragraph" w:customStyle="1" w:styleId="55">
    <w:name w:val="4级格式"/>
    <w:basedOn w:val="38"/>
    <w:qFormat/>
    <w:uiPriority w:val="0"/>
    <w:pPr>
      <w:widowControl/>
      <w:numPr>
        <w:ilvl w:val="3"/>
        <w:numId w:val="1"/>
      </w:numPr>
      <w:tabs>
        <w:tab w:val="left" w:pos="2053"/>
      </w:tabs>
      <w:spacing w:before="50" w:beforeLines="50" w:line="360" w:lineRule="auto"/>
      <w:ind w:left="851" w:right="100" w:rightChars="100" w:firstLine="0"/>
      <w:outlineLvl w:val="3"/>
    </w:pPr>
    <w:rPr>
      <w:b/>
      <w:bCs/>
      <w:sz w:val="24"/>
      <w:szCs w:val="30"/>
    </w:rPr>
  </w:style>
  <w:style w:type="paragraph" w:customStyle="1" w:styleId="56">
    <w:name w:val="列出段落2"/>
    <w:basedOn w:val="1"/>
    <w:qFormat/>
    <w:uiPriority w:val="34"/>
    <w:pPr>
      <w:ind w:firstLine="420" w:firstLineChars="200"/>
    </w:pPr>
  </w:style>
  <w:style w:type="paragraph" w:customStyle="1" w:styleId="57">
    <w:name w:val="列出段落11"/>
    <w:basedOn w:val="1"/>
    <w:qFormat/>
    <w:uiPriority w:val="34"/>
    <w:pPr>
      <w:spacing w:line="500" w:lineRule="exact"/>
      <w:ind w:firstLine="420" w:firstLineChars="200"/>
      <w:jc w:val="both"/>
    </w:pPr>
    <w:rPr>
      <w:rFonts w:cs="Times New Roman"/>
      <w:kern w:val="2"/>
      <w:sz w:val="21"/>
      <w:szCs w:val="24"/>
      <w:lang w:eastAsia="zh-CN"/>
    </w:rPr>
  </w:style>
  <w:style w:type="paragraph" w:customStyle="1" w:styleId="58">
    <w:name w:val="Table Text"/>
    <w:basedOn w:val="1"/>
    <w:qFormat/>
    <w:uiPriority w:val="0"/>
    <w:pPr>
      <w:widowControl/>
      <w:kinsoku w:val="0"/>
      <w:autoSpaceDE w:val="0"/>
      <w:autoSpaceDN w:val="0"/>
      <w:adjustRightInd w:val="0"/>
      <w:snapToGrid w:val="0"/>
      <w:textAlignment w:val="baseline"/>
    </w:pPr>
    <w:rPr>
      <w:rFonts w:ascii="Arial" w:hAnsi="Arial" w:eastAsia="Arial" w:cs="Arial"/>
      <w:snapToGrid w:val="0"/>
      <w:color w:val="000000"/>
      <w:sz w:val="21"/>
      <w:szCs w:val="21"/>
    </w:rPr>
  </w:style>
  <w:style w:type="character" w:customStyle="1" w:styleId="59">
    <w:name w:val="未处理的提及2"/>
    <w:basedOn w:val="31"/>
    <w:qFormat/>
    <w:uiPriority w:val="99"/>
    <w:rPr>
      <w:color w:val="605E5C"/>
      <w:shd w:val="clear" w:color="auto" w:fill="E1DFDD"/>
    </w:rPr>
  </w:style>
  <w:style w:type="paragraph" w:customStyle="1" w:styleId="60">
    <w:name w:val="修订1"/>
    <w:qFormat/>
    <w:uiPriority w:val="99"/>
    <w:pPr>
      <w:spacing w:after="160" w:line="278" w:lineRule="auto"/>
    </w:pPr>
    <w:rPr>
      <w:rFonts w:ascii="宋体" w:hAnsi="宋体" w:eastAsia="宋体" w:cs="宋体"/>
      <w:sz w:val="22"/>
      <w:szCs w:val="22"/>
      <w:lang w:val="en-US" w:eastAsia="en-US" w:bidi="ar-SA"/>
    </w:rPr>
  </w:style>
  <w:style w:type="paragraph" w:customStyle="1" w:styleId="61">
    <w:name w:val="Default"/>
    <w:qFormat/>
    <w:uiPriority w:val="99"/>
    <w:pPr>
      <w:widowControl w:val="0"/>
      <w:autoSpaceDE w:val="0"/>
      <w:autoSpaceDN w:val="0"/>
      <w:adjustRightInd w:val="0"/>
      <w:spacing w:after="160" w:line="278" w:lineRule="auto"/>
    </w:pPr>
    <w:rPr>
      <w:rFonts w:ascii="黑体" w:hAnsi="Calibri" w:eastAsia="黑体" w:cs="黑体"/>
      <w:color w:val="000000"/>
      <w:kern w:val="2"/>
      <w:sz w:val="24"/>
      <w:szCs w:val="24"/>
      <w:lang w:val="en-US" w:eastAsia="zh-CN" w:bidi="ar-SA"/>
    </w:rPr>
  </w:style>
  <w:style w:type="paragraph" w:customStyle="1" w:styleId="62">
    <w:name w:val="正文lxm"/>
    <w:basedOn w:val="1"/>
    <w:qFormat/>
    <w:uiPriority w:val="0"/>
    <w:pPr>
      <w:tabs>
        <w:tab w:val="left" w:pos="720"/>
      </w:tabs>
      <w:ind w:firstLine="480"/>
    </w:pPr>
  </w:style>
  <w:style w:type="character" w:customStyle="1" w:styleId="63">
    <w:name w:val="font151"/>
    <w:basedOn w:val="31"/>
    <w:qFormat/>
    <w:uiPriority w:val="0"/>
    <w:rPr>
      <w:rFonts w:hint="eastAsia" w:ascii="宋体" w:hAnsi="宋体" w:eastAsia="宋体" w:cs="宋体"/>
      <w:color w:val="FF0000"/>
      <w:sz w:val="20"/>
      <w:szCs w:val="20"/>
      <w:u w:val="none"/>
    </w:rPr>
  </w:style>
  <w:style w:type="character" w:customStyle="1" w:styleId="64">
    <w:name w:val="font171"/>
    <w:basedOn w:val="31"/>
    <w:qFormat/>
    <w:uiPriority w:val="0"/>
    <w:rPr>
      <w:rFonts w:hint="default" w:ascii="Times New Roman" w:hAnsi="Times New Roman" w:cs="Times New Roman"/>
      <w:color w:val="000000"/>
      <w:sz w:val="22"/>
      <w:szCs w:val="22"/>
      <w:u w:val="none"/>
    </w:rPr>
  </w:style>
  <w:style w:type="character" w:customStyle="1" w:styleId="65">
    <w:name w:val="font101"/>
    <w:basedOn w:val="31"/>
    <w:qFormat/>
    <w:uiPriority w:val="0"/>
    <w:rPr>
      <w:rFonts w:hint="eastAsia" w:ascii="宋体" w:hAnsi="宋体" w:eastAsia="宋体" w:cs="宋体"/>
      <w:color w:val="000000"/>
      <w:sz w:val="20"/>
      <w:szCs w:val="20"/>
      <w:u w:val="none"/>
    </w:rPr>
  </w:style>
  <w:style w:type="character" w:customStyle="1" w:styleId="66">
    <w:name w:val="font181"/>
    <w:basedOn w:val="31"/>
    <w:qFormat/>
    <w:uiPriority w:val="0"/>
    <w:rPr>
      <w:rFonts w:ascii="Arial" w:hAnsi="Arial" w:cs="Arial"/>
      <w:color w:val="000000"/>
      <w:sz w:val="20"/>
      <w:szCs w:val="20"/>
      <w:u w:val="none"/>
    </w:rPr>
  </w:style>
  <w:style w:type="character" w:customStyle="1" w:styleId="67">
    <w:name w:val="NormalCharacter"/>
    <w:qFormat/>
    <w:uiPriority w:val="0"/>
  </w:style>
  <w:style w:type="paragraph" w:customStyle="1" w:styleId="68">
    <w:name w:val="修订2"/>
    <w:qFormat/>
    <w:uiPriority w:val="99"/>
    <w:pPr>
      <w:spacing w:after="160" w:line="278" w:lineRule="auto"/>
    </w:pPr>
    <w:rPr>
      <w:rFonts w:ascii="Times New Roman" w:hAnsi="Times New Roman" w:eastAsia="宋体" w:cs="宋体"/>
      <w:sz w:val="22"/>
      <w:szCs w:val="22"/>
      <w:lang w:val="en-US" w:eastAsia="en-US" w:bidi="ar-SA"/>
    </w:rPr>
  </w:style>
  <w:style w:type="paragraph" w:customStyle="1" w:styleId="69">
    <w:name w:val="修订3"/>
    <w:qFormat/>
    <w:uiPriority w:val="99"/>
    <w:pPr>
      <w:spacing w:after="160" w:line="278" w:lineRule="auto"/>
    </w:pPr>
    <w:rPr>
      <w:rFonts w:ascii="Times New Roman" w:hAnsi="Times New Roman" w:eastAsia="宋体" w:cs="宋体"/>
      <w:sz w:val="22"/>
      <w:szCs w:val="22"/>
      <w:lang w:val="en-US" w:eastAsia="en-US" w:bidi="ar-SA"/>
    </w:rPr>
  </w:style>
  <w:style w:type="paragraph" w:customStyle="1" w:styleId="70">
    <w:name w:val="Revision_bc5fff17-5ac6-4620-b618-d5b7f7fbb073"/>
    <w:qFormat/>
    <w:uiPriority w:val="99"/>
    <w:pPr>
      <w:spacing w:after="0" w:line="240" w:lineRule="auto"/>
    </w:pPr>
    <w:rPr>
      <w:rFonts w:ascii="Times New Roman" w:hAnsi="Times New Roman" w:eastAsia="宋体" w:cs="宋体"/>
      <w:sz w:val="22"/>
      <w:szCs w:val="2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SelectedStyle="\APASixthEditionOfficeOnline.xsl" Version="6"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353FB75-F55B-4FFF-A930-FE1939C5E339}">
  <ds:schemaRefs/>
</ds:datastoreItem>
</file>

<file path=docProps/app.xml><?xml version="1.0" encoding="utf-8"?>
<Properties xmlns="http://schemas.openxmlformats.org/officeDocument/2006/extended-properties" xmlns:vt="http://schemas.openxmlformats.org/officeDocument/2006/docPropsVTypes">
  <Template>Normal</Template>
  <Pages>124</Pages>
  <Words>18611</Words>
  <Characters>21757</Characters>
  <Paragraphs>3716</Paragraphs>
  <TotalTime>23</TotalTime>
  <ScaleCrop>false</ScaleCrop>
  <LinksUpToDate>false</LinksUpToDate>
  <CharactersWithSpaces>22849</CharactersWithSpaces>
  <Application>WPS Office_10.8.2.6543_F1E327BC-269C-435d-A152-05C5408002CA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2025-09-24T09:49:00Z</dcterms:created>
  <dcterms:modified xsi:type="dcterms:W3CDTF">2025-10-13T07:16:29Z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2052-10.8.2.6543</vt:lpwstr>
  </property>
  <property fmtid="{D5CDD505-2E9C-101B-9397-08002B2CF9AE}" pid="3" name="ICV">
    <vt:lpwstr>6373066DF51A4DC3A0F3D1C664B2B5A1_13</vt:lpwstr>
  </property>
  <property fmtid="{D5CDD505-2E9C-101B-9397-08002B2CF9AE}" pid="4" name="KSOTemplateDocerSaveRecord">
    <vt:lpwstr>eyJoZGlkIjoiNWMwNjM1YzZjMzU1YzFjNGQ4YTA0ZTFhNDVlMWJjZjIiLCJ1c2VySWQiOiIxMjYxMDcyMTUzIn0=</vt:lpwstr>
  </property>
</Properties>
</file>