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numPr>
          <w:ilvl w:val="0"/>
          <w:numId w:val="1"/>
        </w:numPr>
        <w:spacing w:line="443" w:lineRule="exact"/>
        <w:ind w:left="102" w:right="0" w:firstLine="482" w:firstLineChars="200"/>
        <w:jc w:val="left"/>
        <w:rPr>
          <w:rFonts w:hint="eastAsia" w:ascii="Times New Roman" w:hAnsi="Times New Roman" w:cs="Times New Roman" w:eastAsiaTheme="minorEastAsia"/>
          <w:sz w:val="24"/>
          <w:szCs w:val="24"/>
          <w:lang w:val="en-US" w:eastAsia="zh-CN"/>
        </w:rPr>
      </w:pPr>
      <w:bookmarkStart w:id="0" w:name="_Toc65848137"/>
      <w:r>
        <w:rPr>
          <w:rFonts w:hint="eastAsia" w:ascii="Times New Roman" w:hAnsi="Times New Roman" w:cs="Times New Roman"/>
          <w:lang w:val="en-US" w:eastAsia="zh-CN"/>
        </w:rPr>
        <w:t>分项</w:t>
      </w:r>
      <w:r>
        <w:rPr>
          <w:rFonts w:hint="eastAsia" w:ascii="Times New Roman" w:hAnsi="Times New Roman" w:cs="Times New Roman"/>
          <w:lang w:eastAsia="zh-CN"/>
        </w:rPr>
        <w:t>报价文件</w:t>
      </w:r>
      <w:bookmarkEnd w:id="0"/>
      <w:r>
        <w:rPr>
          <w:rFonts w:hint="eastAsia" w:ascii="宋体" w:hAnsi="宋体" w:eastAsia="宋体" w:cs="宋体"/>
          <w:color w:val="auto"/>
          <w:highlight w:val="none"/>
          <w:lang w:eastAsia="zh-CN"/>
        </w:rPr>
        <w:t>★</w:t>
      </w:r>
      <w:r>
        <w:rPr>
          <w:rFonts w:hint="eastAsia" w:ascii="Times New Roman" w:hAnsi="Times New Roman" w:cs="Times New Roman" w:eastAsiaTheme="minorEastAsia"/>
          <w:sz w:val="24"/>
          <w:szCs w:val="24"/>
          <w:lang w:val="en-US" w:eastAsia="zh-CN"/>
        </w:rPr>
        <w:t xml:space="preserve">                                                                                                                       单位：元人民币</w:t>
      </w:r>
    </w:p>
    <w:tbl>
      <w:tblPr>
        <w:tblStyle w:val="6"/>
        <w:tblW w:w="1325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23"/>
        <w:gridCol w:w="3265"/>
        <w:gridCol w:w="2631"/>
        <w:gridCol w:w="68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14" w:hRule="atLeast"/>
        </w:trPr>
        <w:tc>
          <w:tcPr>
            <w:tcW w:w="132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lang w:val="en-US"/>
              </w:rPr>
            </w:pPr>
            <w:r>
              <w:rPr>
                <w:rFonts w:hint="eastAsia" w:cs="宋体"/>
                <w:b/>
                <w:i w:val="0"/>
                <w:color w:val="000000"/>
                <w:kern w:val="0"/>
                <w:sz w:val="24"/>
                <w:szCs w:val="24"/>
                <w:u w:val="none"/>
                <w:lang w:val="en-US" w:eastAsia="zh-CN" w:bidi="ar"/>
              </w:rPr>
              <w:t>4.1运输单价（</w:t>
            </w:r>
            <w:r>
              <w:rPr>
                <w:rFonts w:hint="eastAsia" w:ascii="宋体" w:hAnsi="宋体" w:eastAsia="宋体" w:cs="宋体"/>
                <w:b/>
                <w:i w:val="0"/>
                <w:color w:val="000000"/>
                <w:kern w:val="0"/>
                <w:sz w:val="24"/>
                <w:szCs w:val="24"/>
                <w:u w:val="none"/>
                <w:lang w:val="en-US" w:eastAsia="zh-CN" w:bidi="ar"/>
              </w:rPr>
              <w:t>距离</w:t>
            </w:r>
            <w:r>
              <w:rPr>
                <w:rFonts w:hint="eastAsia" w:cs="宋体"/>
                <w:b/>
                <w:i w:val="0"/>
                <w:color w:val="000000"/>
                <w:kern w:val="0"/>
                <w:sz w:val="24"/>
                <w:szCs w:val="24"/>
                <w:u w:val="none"/>
                <w:lang w:val="en-US" w:eastAsia="zh-CN" w:bidi="ar"/>
              </w:rPr>
              <w:t>区间）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8"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距离区间（公里）</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价格（元/吨公里）</w:t>
            </w: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3" w:hRule="exac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2000以上</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3" w:hRule="exac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1500至</w:t>
            </w:r>
            <w:r>
              <w:rPr>
                <w:rFonts w:hint="eastAsia" w:cs="宋体"/>
                <w:i w:val="0"/>
                <w:color w:val="000000"/>
                <w:kern w:val="0"/>
                <w:sz w:val="24"/>
                <w:szCs w:val="24"/>
                <w:u w:val="none"/>
                <w:lang w:val="en-US" w:eastAsia="zh-CN" w:bidi="ar"/>
              </w:rPr>
              <w:t>2000</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3" w:hRule="exac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1000至1500</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3" w:hRule="exac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500至1000</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3" w:hRule="exac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500以下</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r>
              <w:rPr>
                <w:rFonts w:hint="eastAsia" w:cs="宋体"/>
                <w:i w:val="0"/>
                <w:color w:val="000000"/>
                <w:sz w:val="24"/>
                <w:szCs w:val="24"/>
                <w:u w:val="none"/>
                <w:lang w:val="en-US" w:eastAsia="zh-CN"/>
              </w:rPr>
              <w:t>此区间报价不纳入评标价格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8" w:hRule="atLeast"/>
        </w:trPr>
        <w:tc>
          <w:tcPr>
            <w:tcW w:w="132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cs="宋体"/>
                <w:b/>
                <w:i w:val="0"/>
                <w:color w:val="000000"/>
                <w:kern w:val="0"/>
                <w:sz w:val="24"/>
                <w:szCs w:val="24"/>
                <w:u w:val="none"/>
                <w:lang w:val="en-US" w:eastAsia="zh-CN" w:bidi="ar"/>
              </w:rPr>
              <w:t>4.2运输单价（重量区间）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8"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重量区间（吨）</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价格（元/吨公里）</w:t>
            </w: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3" w:hRule="exac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150以上</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lang w:val="en-US" w:eastAsia="zh-CN"/>
              </w:rPr>
            </w:pP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83" w:hRule="exac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100-150</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3" w:hRule="exac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50-100</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3" w:hRule="exac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lang w:val="en-US"/>
              </w:rPr>
            </w:pPr>
            <w:r>
              <w:rPr>
                <w:rFonts w:hint="eastAsia" w:ascii="宋体" w:hAnsi="宋体" w:eastAsia="宋体" w:cs="宋体"/>
                <w:i w:val="0"/>
                <w:color w:val="000000"/>
                <w:kern w:val="0"/>
                <w:sz w:val="24"/>
                <w:szCs w:val="24"/>
                <w:u w:val="none"/>
                <w:lang w:val="en-US" w:eastAsia="zh-CN" w:bidi="ar"/>
              </w:rPr>
              <w:t>50</w:t>
            </w:r>
            <w:r>
              <w:rPr>
                <w:rFonts w:hint="eastAsia" w:cs="宋体"/>
                <w:i w:val="0"/>
                <w:color w:val="000000"/>
                <w:kern w:val="0"/>
                <w:sz w:val="24"/>
                <w:szCs w:val="24"/>
                <w:u w:val="none"/>
                <w:lang w:val="en-US" w:eastAsia="zh-CN" w:bidi="ar"/>
              </w:rPr>
              <w:t>以下</w:t>
            </w:r>
          </w:p>
        </w:tc>
        <w:tc>
          <w:tcPr>
            <w:tcW w:w="263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68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r>
              <w:rPr>
                <w:rFonts w:hint="eastAsia" w:cs="宋体"/>
                <w:i w:val="0"/>
                <w:color w:val="000000"/>
                <w:sz w:val="24"/>
                <w:szCs w:val="24"/>
                <w:u w:val="none"/>
                <w:lang w:val="en-US" w:eastAsia="zh-CN"/>
              </w:rPr>
              <w:t>此区间报价不纳入评标价格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8" w:hRule="atLeast"/>
        </w:trPr>
        <w:tc>
          <w:tcPr>
            <w:tcW w:w="13253"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cs="宋体"/>
                <w:b/>
                <w:i w:val="0"/>
                <w:color w:val="000000"/>
                <w:kern w:val="0"/>
                <w:sz w:val="24"/>
                <w:szCs w:val="24"/>
                <w:u w:val="none"/>
                <w:lang w:val="en-US" w:eastAsia="zh-CN" w:bidi="ar"/>
              </w:rPr>
              <w:t>4.3</w:t>
            </w:r>
            <w:r>
              <w:rPr>
                <w:rFonts w:hint="eastAsia" w:ascii="宋体" w:hAnsi="宋体" w:eastAsia="宋体" w:cs="宋体"/>
                <w:b/>
                <w:i w:val="0"/>
                <w:color w:val="000000"/>
                <w:kern w:val="0"/>
                <w:sz w:val="24"/>
                <w:szCs w:val="24"/>
                <w:u w:val="none"/>
                <w:lang w:val="en-US" w:eastAsia="zh-CN" w:bidi="ar"/>
              </w:rPr>
              <w:t>特殊情况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28"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序号</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项目</w:t>
            </w:r>
          </w:p>
        </w:tc>
        <w:tc>
          <w:tcPr>
            <w:tcW w:w="94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89"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cs="宋体"/>
                <w:i w:val="0"/>
                <w:color w:val="000000"/>
                <w:kern w:val="0"/>
                <w:sz w:val="24"/>
                <w:szCs w:val="24"/>
                <w:u w:val="none"/>
                <w:lang w:val="en-US" w:eastAsia="zh-CN" w:bidi="ar"/>
              </w:rPr>
              <w:t>1</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压车费用</w:t>
            </w:r>
          </w:p>
        </w:tc>
        <w:tc>
          <w:tcPr>
            <w:tcW w:w="94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货到收货地点2天以内予以卸货，不额外收取费用，超过2天按700元/天计算压车费用。送货司机至少提前24小时（如到货时间为节假日需在节假日前一天中午前通知收货方）通知收货方预计到货时间，联系收货事宜，如因沟通不及时造成压车费用由运输公司或司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1" w:hRule="atLeast"/>
        </w:trPr>
        <w:tc>
          <w:tcPr>
            <w:tcW w:w="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cs="宋体"/>
                <w:i w:val="0"/>
                <w:color w:val="000000"/>
                <w:kern w:val="0"/>
                <w:sz w:val="24"/>
                <w:szCs w:val="24"/>
                <w:u w:val="none"/>
                <w:lang w:val="en-US" w:eastAsia="zh-CN" w:bidi="ar"/>
              </w:rPr>
              <w:t>2</w:t>
            </w:r>
          </w:p>
        </w:tc>
        <w:tc>
          <w:tcPr>
            <w:tcW w:w="3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cs="宋体"/>
                <w:i w:val="0"/>
                <w:color w:val="000000"/>
                <w:kern w:val="0"/>
                <w:sz w:val="20"/>
                <w:szCs w:val="20"/>
                <w:u w:val="none"/>
                <w:lang w:val="en-US" w:eastAsia="zh-CN" w:bidi="ar"/>
              </w:rPr>
              <w:t>目的地(交货地)</w:t>
            </w:r>
            <w:r>
              <w:rPr>
                <w:rFonts w:hint="eastAsia" w:ascii="宋体" w:hAnsi="宋体" w:eastAsia="宋体" w:cs="宋体"/>
                <w:i w:val="0"/>
                <w:color w:val="000000"/>
                <w:kern w:val="0"/>
                <w:sz w:val="20"/>
                <w:szCs w:val="20"/>
                <w:u w:val="none"/>
                <w:lang w:val="en-US" w:eastAsia="zh-CN" w:bidi="ar"/>
              </w:rPr>
              <w:t>路况差，车无法直达</w:t>
            </w:r>
            <w:r>
              <w:rPr>
                <w:rFonts w:hint="eastAsia" w:cs="宋体"/>
                <w:i w:val="0"/>
                <w:color w:val="000000"/>
                <w:kern w:val="0"/>
                <w:sz w:val="20"/>
                <w:szCs w:val="20"/>
                <w:u w:val="none"/>
                <w:lang w:val="en-US" w:eastAsia="zh-CN" w:bidi="ar"/>
              </w:rPr>
              <w:t>目的地</w:t>
            </w:r>
            <w:r>
              <w:rPr>
                <w:rFonts w:hint="eastAsia" w:ascii="宋体" w:hAnsi="宋体" w:eastAsia="宋体" w:cs="宋体"/>
                <w:i w:val="0"/>
                <w:color w:val="000000"/>
                <w:kern w:val="0"/>
                <w:sz w:val="20"/>
                <w:szCs w:val="20"/>
                <w:u w:val="none"/>
                <w:lang w:val="en-US" w:eastAsia="zh-CN" w:bidi="ar"/>
              </w:rPr>
              <w:t>，需二次倒运</w:t>
            </w:r>
          </w:p>
        </w:tc>
        <w:tc>
          <w:tcPr>
            <w:tcW w:w="94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需换车及雇佣吊运车辆，发生的换车费用及调运费用需由招标人负责。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81" w:hRule="atLeast"/>
        </w:trPr>
        <w:tc>
          <w:tcPr>
            <w:tcW w:w="13253" w:type="dxa"/>
            <w:gridSpan w:val="4"/>
            <w:shd w:val="clear" w:color="auto" w:fill="auto"/>
            <w:vAlign w:val="center"/>
          </w:tcPr>
          <w:p>
            <w:pPr>
              <w:widowControl/>
              <w:spacing w:after="0" w:line="240" w:lineRule="auto"/>
              <w:textAlignment w:val="center"/>
              <w:rPr>
                <w:rFonts w:hint="default"/>
                <w:lang w:val="en-US" w:eastAsia="zh-CN"/>
              </w:rPr>
            </w:pPr>
            <w:r>
              <w:rPr>
                <w:rFonts w:hint="eastAsia" w:ascii="宋体" w:hAnsi="宋体" w:eastAsia="宋体" w:cs="宋体"/>
                <w:b/>
                <w:i w:val="0"/>
                <w:color w:val="000000"/>
                <w:kern w:val="0"/>
                <w:sz w:val="20"/>
                <w:szCs w:val="20"/>
                <w:u w:val="none"/>
                <w:lang w:val="en-US" w:eastAsia="zh-CN" w:bidi="ar"/>
              </w:rPr>
              <w:t>备注：</w:t>
            </w:r>
            <w:r>
              <w:rPr>
                <w:rFonts w:hint="eastAsia" w:ascii="宋体" w:hAnsi="宋体" w:eastAsia="宋体" w:cs="宋体"/>
                <w:b/>
                <w:i w:val="0"/>
                <w:color w:val="000000"/>
                <w:kern w:val="0"/>
                <w:sz w:val="20"/>
                <w:szCs w:val="20"/>
                <w:u w:val="none"/>
                <w:lang w:val="en-US" w:eastAsia="zh-CN" w:bidi="ar"/>
              </w:rPr>
              <w:br w:type="textWrapping"/>
            </w:r>
            <w:r>
              <w:rPr>
                <w:rFonts w:hint="eastAsia" w:ascii="宋体" w:hAnsi="宋体" w:eastAsia="宋体" w:cs="宋体"/>
                <w:b/>
                <w:i w:val="0"/>
                <w:color w:val="000000"/>
                <w:kern w:val="0"/>
                <w:sz w:val="20"/>
                <w:szCs w:val="20"/>
                <w:u w:val="none"/>
                <w:lang w:val="en-US" w:eastAsia="zh-CN" w:bidi="ar"/>
              </w:rPr>
              <w:t>1.运输价格均以单车次为准计算。</w:t>
            </w:r>
            <w:r>
              <w:rPr>
                <w:rFonts w:hint="eastAsia" w:ascii="宋体" w:hAnsi="宋体" w:eastAsia="宋体" w:cs="宋体"/>
                <w:b/>
                <w:i w:val="0"/>
                <w:color w:val="000000"/>
                <w:kern w:val="0"/>
                <w:sz w:val="20"/>
                <w:szCs w:val="20"/>
                <w:u w:val="none"/>
                <w:lang w:val="en-US" w:eastAsia="zh-CN" w:bidi="ar"/>
              </w:rPr>
              <w:br w:type="textWrapping"/>
            </w:r>
            <w:r>
              <w:rPr>
                <w:rFonts w:hint="eastAsia" w:ascii="宋体" w:hAnsi="宋体" w:eastAsia="宋体" w:cs="宋体"/>
                <w:b/>
                <w:i w:val="0"/>
                <w:color w:val="000000"/>
                <w:kern w:val="0"/>
                <w:sz w:val="20"/>
                <w:szCs w:val="20"/>
                <w:u w:val="none"/>
                <w:lang w:val="en-US" w:eastAsia="zh-CN" w:bidi="ar"/>
              </w:rPr>
              <w:t>2.</w:t>
            </w:r>
            <w:r>
              <w:rPr>
                <w:rFonts w:hint="eastAsia" w:cs="宋体"/>
                <w:b/>
                <w:i w:val="0"/>
                <w:color w:val="000000"/>
                <w:kern w:val="0"/>
                <w:sz w:val="20"/>
                <w:szCs w:val="20"/>
                <w:u w:val="none"/>
                <w:lang w:val="en-US" w:eastAsia="zh-CN" w:bidi="ar"/>
              </w:rPr>
              <w:t>评标报价计算方式：评标报价=各距离区间单价+各重量区间单价</w:t>
            </w:r>
          </w:p>
          <w:p>
            <w:pPr>
              <w:keepNext w:val="0"/>
              <w:keepLines w:val="0"/>
              <w:widowControl/>
              <w:suppressLineNumbers w:val="0"/>
              <w:spacing w:after="0" w:line="240" w:lineRule="auto"/>
              <w:jc w:val="left"/>
              <w:textAlignment w:val="center"/>
              <w:rPr>
                <w:rFonts w:hint="eastAsia" w:ascii="宋体" w:hAnsi="宋体" w:eastAsia="宋体" w:cs="宋体"/>
                <w:b/>
                <w:i w:val="0"/>
                <w:color w:val="000000"/>
                <w:sz w:val="22"/>
                <w:szCs w:val="22"/>
                <w:u w:val="none"/>
              </w:rPr>
            </w:pPr>
            <w:r>
              <w:rPr>
                <w:rFonts w:hint="eastAsia" w:cs="宋体"/>
                <w:b/>
                <w:i w:val="0"/>
                <w:color w:val="000000"/>
                <w:kern w:val="0"/>
                <w:sz w:val="20"/>
                <w:szCs w:val="20"/>
                <w:u w:val="none"/>
                <w:lang w:val="en-US" w:eastAsia="zh-CN" w:bidi="ar"/>
              </w:rPr>
              <w:t>3.结算</w:t>
            </w:r>
            <w:r>
              <w:rPr>
                <w:rFonts w:hint="eastAsia" w:ascii="宋体" w:hAnsi="宋体" w:eastAsia="宋体" w:cs="宋体"/>
                <w:b/>
                <w:i w:val="0"/>
                <w:color w:val="000000"/>
                <w:kern w:val="0"/>
                <w:sz w:val="20"/>
                <w:szCs w:val="20"/>
                <w:u w:val="none"/>
                <w:lang w:val="en-US" w:eastAsia="zh-CN" w:bidi="ar"/>
              </w:rPr>
              <w:t>运费计算公式：运费=距离*重量*吨公里单价+特殊情况发生的费用，其中吨公里单价按上表距离区间及重量区间确定价格，取两项的最高价计算；重量以过磅单重量为准，距离以发货地点至交货地点的货车导航显示距离为准。</w:t>
            </w:r>
            <w:r>
              <w:rPr>
                <w:rFonts w:hint="eastAsia" w:ascii="宋体" w:hAnsi="宋体" w:eastAsia="宋体" w:cs="宋体"/>
                <w:b/>
                <w:i w:val="0"/>
                <w:color w:val="000000"/>
                <w:kern w:val="0"/>
                <w:sz w:val="20"/>
                <w:szCs w:val="20"/>
                <w:u w:val="none"/>
                <w:lang w:val="en-US" w:eastAsia="zh-CN" w:bidi="ar"/>
              </w:rPr>
              <w:br w:type="textWrapping"/>
            </w:r>
            <w:r>
              <w:rPr>
                <w:rFonts w:hint="eastAsia" w:ascii="宋体" w:hAnsi="宋体" w:eastAsia="宋体" w:cs="宋体"/>
                <w:b/>
                <w:i w:val="0"/>
                <w:color w:val="000000"/>
                <w:kern w:val="0"/>
                <w:sz w:val="20"/>
                <w:szCs w:val="20"/>
                <w:u w:val="none"/>
                <w:lang w:val="en-US" w:eastAsia="zh-CN" w:bidi="ar"/>
              </w:rPr>
              <w:t>3.除所罗列特殊情况之外，其它特殊情况投标人需在投标文件中明确列出并经招标人同意方可在签订框架协议时列入特殊情况项目内，未列入其内的特殊情况招标人一律不予支付相关费用。</w:t>
            </w:r>
          </w:p>
        </w:tc>
      </w:tr>
    </w:tbl>
    <w:p>
      <w:bookmarkStart w:id="1" w:name="_GoBack"/>
      <w:bookmarkEnd w:id="1"/>
    </w:p>
    <w:sectPr>
      <w:pgSz w:w="16838" w:h="11906" w:orient="landscape"/>
      <w:pgMar w:top="556" w:right="1440" w:bottom="556" w:left="1440"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813DB7"/>
    <w:multiLevelType w:val="singleLevel"/>
    <w:tmpl w:val="4E813DB7"/>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E90D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spacing w:after="200" w:line="276" w:lineRule="auto"/>
    </w:pPr>
    <w:rPr>
      <w:rFonts w:ascii="宋体" w:hAnsi="宋体" w:eastAsia="宋体" w:cs="宋体"/>
      <w:sz w:val="22"/>
      <w:szCs w:val="22"/>
      <w:lang w:val="en-US" w:eastAsia="en-US" w:bidi="ar-SA"/>
    </w:rPr>
  </w:style>
  <w:style w:type="paragraph" w:styleId="4">
    <w:name w:val="heading 2"/>
    <w:basedOn w:val="2"/>
    <w:next w:val="1"/>
    <w:qFormat/>
    <w:uiPriority w:val="1"/>
    <w:pPr>
      <w:ind w:left="100" w:right="102"/>
      <w:outlineLvl w:val="1"/>
    </w:pPr>
    <w:rPr>
      <w:rFonts w:ascii="Microsoft JhengHei" w:hAnsi="Microsoft JhengHei" w:cs="Microsoft JhengHei"/>
      <w:b/>
      <w:bCs/>
      <w:sz w:val="24"/>
      <w:szCs w:val="32"/>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Body Text"/>
    <w:basedOn w:val="1"/>
    <w:next w:val="3"/>
    <w:qFormat/>
    <w:uiPriority w:val="1"/>
    <w:rPr>
      <w:sz w:val="21"/>
      <w:szCs w:val="21"/>
    </w:rPr>
  </w:style>
  <w:style w:type="paragraph" w:customStyle="1" w:styleId="3">
    <w:name w:val="普通(网站)1"/>
    <w:basedOn w:val="1"/>
    <w:qFormat/>
    <w:uiPriority w:val="0"/>
    <w:pPr>
      <w:spacing w:line="360" w:lineRule="auto"/>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2025-09-18T01:40:00Z</dcterms:created>
  <dc:creator>Administrator</dc:creator>
  <cp:lastModifiedBy>Administrator</cp:lastModifiedBy>
  <dcterms:modified xsi:type="dcterms:W3CDTF">2025-09-18T01:41:12Z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2052-10.8.2.6543</vt:lpwstr>
  </property>
</Properties>
</file>