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ind w:left="0" w:right="57"/>
        <w:jc w:val="center"/>
        <w:rPr>
          <w:rFonts w:hint="eastAsia" w:ascii="宋体" w:hAnsi="宋体" w:eastAsia="宋体" w:cs="宋体"/>
          <w:color w:val="auto"/>
          <w:highlight w:val="none"/>
          <w:lang w:eastAsia="zh-CN"/>
        </w:rPr>
      </w:pPr>
      <w:bookmarkStart w:id="0" w:name="_Toc65848087"/>
      <w:bookmarkStart w:id="1" w:name="_Toc28920"/>
      <w:bookmarkStart w:id="2" w:name="_Toc30851"/>
      <w:bookmarkStart w:id="3" w:name="_Toc5474"/>
      <w:bookmarkStart w:id="4" w:name="_Toc16073"/>
      <w:bookmarkStart w:id="5" w:name="_Toc32682"/>
      <w:bookmarkStart w:id="6" w:name="_Toc18771"/>
      <w:bookmarkStart w:id="7" w:name="_Toc27520"/>
      <w:r>
        <w:rPr>
          <w:rFonts w:hint="eastAsia" w:ascii="宋体" w:hAnsi="宋体" w:eastAsia="宋体" w:cs="宋体"/>
          <w:color w:val="auto"/>
          <w:highlight w:val="none"/>
          <w:lang w:eastAsia="zh-CN"/>
        </w:rPr>
        <w:t>招标公告</w:t>
      </w:r>
      <w:bookmarkEnd w:id="0"/>
      <w:bookmarkEnd w:id="1"/>
      <w:bookmarkEnd w:id="2"/>
      <w:bookmarkEnd w:id="3"/>
      <w:bookmarkEnd w:id="4"/>
      <w:bookmarkEnd w:id="5"/>
      <w:bookmarkEnd w:id="6"/>
      <w:bookmarkEnd w:id="7"/>
    </w:p>
    <w:p>
      <w:pPr>
        <w:pStyle w:val="5"/>
        <w:spacing w:line="360" w:lineRule="auto"/>
        <w:ind w:left="0" w:leftChars="0" w:firstLine="0" w:firstLineChars="0"/>
        <w:jc w:val="center"/>
        <w:rPr>
          <w:rFonts w:hint="eastAsia" w:ascii="宋体" w:hAnsi="宋体" w:eastAsia="宋体" w:cs="宋体"/>
          <w:color w:val="auto"/>
          <w:sz w:val="28"/>
          <w:szCs w:val="28"/>
          <w:highlight w:val="none"/>
          <w:lang w:val="en-US" w:eastAsia="zh-CN"/>
        </w:rPr>
      </w:pPr>
      <w:bookmarkStart w:id="8" w:name="_Toc8459"/>
      <w:bookmarkStart w:id="9" w:name="_Toc22546"/>
      <w:bookmarkStart w:id="10" w:name="_Toc15249"/>
      <w:bookmarkStart w:id="11" w:name="_Toc5283"/>
      <w:bookmarkStart w:id="12" w:name="_Toc7286"/>
      <w:bookmarkStart w:id="13" w:name="_Toc65848088"/>
      <w:bookmarkStart w:id="14" w:name="_Toc8153"/>
      <w:bookmarkStart w:id="15" w:name="_Toc8531"/>
      <w:bookmarkStart w:id="16" w:name="_Toc25095"/>
      <w:bookmarkStart w:id="17" w:name="_Hlk77773225"/>
      <w:bookmarkStart w:id="18" w:name="_Hlk82696836"/>
      <w:r>
        <w:rPr>
          <w:rFonts w:hint="eastAsia" w:ascii="宋体" w:hAnsi="宋体" w:eastAsia="宋体" w:cs="宋体"/>
          <w:color w:val="auto"/>
          <w:sz w:val="28"/>
          <w:szCs w:val="28"/>
          <w:highlight w:val="none"/>
          <w:lang w:val="en-US" w:eastAsia="zh-CN"/>
        </w:rPr>
        <w:t>中国有色集团卢安夏新矿项目</w:t>
      </w:r>
      <w:r>
        <w:rPr>
          <w:rFonts w:hint="eastAsia" w:cs="宋体"/>
          <w:color w:val="auto"/>
          <w:sz w:val="28"/>
          <w:szCs w:val="28"/>
          <w:highlight w:val="none"/>
          <w:lang w:val="en-US" w:eastAsia="zh-CN"/>
        </w:rPr>
        <w:t>矿车及卸载架</w:t>
      </w:r>
      <w:r>
        <w:rPr>
          <w:rFonts w:hint="eastAsia" w:ascii="宋体" w:hAnsi="宋体" w:eastAsia="宋体" w:cs="宋体"/>
          <w:color w:val="auto"/>
          <w:sz w:val="28"/>
          <w:szCs w:val="28"/>
          <w:highlight w:val="none"/>
          <w:lang w:val="en-US" w:eastAsia="zh-CN"/>
        </w:rPr>
        <w:t>采购招标公告</w:t>
      </w:r>
      <w:bookmarkEnd w:id="8"/>
      <w:bookmarkEnd w:id="9"/>
      <w:bookmarkEnd w:id="10"/>
      <w:bookmarkEnd w:id="11"/>
    </w:p>
    <w:p>
      <w:pPr>
        <w:pStyle w:val="5"/>
        <w:spacing w:line="360" w:lineRule="auto"/>
        <w:rPr>
          <w:rFonts w:hint="eastAsia" w:ascii="宋体" w:hAnsi="宋体" w:eastAsia="宋体" w:cs="宋体"/>
          <w:color w:val="auto"/>
          <w:sz w:val="24"/>
          <w:szCs w:val="24"/>
          <w:highlight w:val="none"/>
        </w:rPr>
      </w:pPr>
      <w:bookmarkStart w:id="19" w:name="_Toc6890"/>
      <w:bookmarkStart w:id="20" w:name="_Toc23459"/>
      <w:bookmarkStart w:id="21" w:name="_Toc16017"/>
      <w:r>
        <w:rPr>
          <w:rFonts w:hint="eastAsia" w:ascii="宋体" w:hAnsi="宋体" w:eastAsia="宋体" w:cs="宋体"/>
          <w:color w:val="auto"/>
          <w:sz w:val="24"/>
          <w:szCs w:val="24"/>
          <w:highlight w:val="none"/>
        </w:rPr>
        <w:t>1.招标条件</w:t>
      </w:r>
      <w:bookmarkEnd w:id="12"/>
      <w:bookmarkEnd w:id="13"/>
      <w:bookmarkEnd w:id="14"/>
      <w:bookmarkEnd w:id="15"/>
      <w:bookmarkEnd w:id="16"/>
      <w:bookmarkEnd w:id="19"/>
      <w:bookmarkEnd w:id="20"/>
      <w:bookmarkEnd w:id="21"/>
    </w:p>
    <w:p>
      <w:pPr>
        <w:pStyle w:val="5"/>
        <w:spacing w:line="360" w:lineRule="auto"/>
        <w:jc w:val="both"/>
        <w:rPr>
          <w:rFonts w:hint="eastAsia" w:ascii="宋体" w:hAnsi="宋体" w:eastAsia="宋体" w:cs="宋体"/>
          <w:b w:val="0"/>
          <w:bCs/>
          <w:color w:val="auto"/>
          <w:sz w:val="24"/>
          <w:szCs w:val="24"/>
          <w:highlight w:val="none"/>
        </w:rPr>
      </w:pPr>
      <w:bookmarkStart w:id="22" w:name="_Toc65848089"/>
      <w:bookmarkStart w:id="23" w:name="_Toc26403"/>
      <w:bookmarkStart w:id="24" w:name="_Toc10650"/>
      <w:bookmarkStart w:id="25" w:name="_Toc254"/>
      <w:bookmarkStart w:id="26" w:name="_Toc27098"/>
      <w:r>
        <w:rPr>
          <w:rFonts w:hint="eastAsia" w:ascii="宋体" w:hAnsi="宋体" w:eastAsia="宋体" w:cs="宋体"/>
          <w:b w:val="0"/>
          <w:bCs/>
          <w:color w:val="auto"/>
          <w:sz w:val="24"/>
          <w:szCs w:val="24"/>
          <w:highlight w:val="none"/>
        </w:rPr>
        <w:t>本招标</w:t>
      </w:r>
      <w:r>
        <w:rPr>
          <w:rFonts w:hint="eastAsia" w:ascii="宋体" w:hAnsi="宋体" w:eastAsia="宋体" w:cs="宋体"/>
          <w:b w:val="0"/>
          <w:bCs/>
          <w:color w:val="auto"/>
          <w:sz w:val="24"/>
          <w:szCs w:val="24"/>
          <w:highlight w:val="none"/>
          <w:lang w:val="en-US" w:eastAsia="zh-CN"/>
        </w:rPr>
        <w:t>是</w:t>
      </w:r>
      <w:r>
        <w:rPr>
          <w:rFonts w:hint="eastAsia" w:ascii="宋体" w:hAnsi="宋体" w:eastAsia="宋体" w:cs="宋体"/>
          <w:b w:val="0"/>
          <w:bCs/>
          <w:color w:val="auto"/>
          <w:sz w:val="24"/>
          <w:szCs w:val="24"/>
          <w:highlight w:val="none"/>
          <w:u w:val="single"/>
          <w:lang w:val="en-US" w:eastAsia="zh-CN" w:bidi="ar-SA"/>
        </w:rPr>
        <w:t>中国有色集团卢安夏新矿项目</w:t>
      </w:r>
      <w:r>
        <w:rPr>
          <w:rFonts w:hint="eastAsia" w:cs="宋体"/>
          <w:b w:val="0"/>
          <w:bCs/>
          <w:color w:val="auto"/>
          <w:sz w:val="24"/>
          <w:szCs w:val="24"/>
          <w:highlight w:val="none"/>
          <w:u w:val="single"/>
          <w:lang w:val="en-US" w:eastAsia="zh-CN" w:bidi="ar-SA"/>
        </w:rPr>
        <w:t>矿车及卸载架</w:t>
      </w:r>
      <w:r>
        <w:rPr>
          <w:rFonts w:hint="eastAsia" w:ascii="宋体" w:hAnsi="宋体" w:eastAsia="宋体" w:cs="宋体"/>
          <w:b w:val="0"/>
          <w:bCs/>
          <w:color w:val="auto"/>
          <w:sz w:val="24"/>
          <w:szCs w:val="24"/>
          <w:highlight w:val="none"/>
          <w:u w:val="single"/>
          <w:lang w:val="en-US" w:eastAsia="zh-CN" w:bidi="ar-SA"/>
        </w:rPr>
        <w:t>采购</w:t>
      </w:r>
      <w:r>
        <w:rPr>
          <w:rFonts w:hint="eastAsia" w:ascii="宋体" w:hAnsi="宋体" w:eastAsia="宋体" w:cs="宋体"/>
          <w:b w:val="0"/>
          <w:bCs/>
          <w:color w:val="auto"/>
          <w:sz w:val="24"/>
          <w:szCs w:val="24"/>
          <w:highlight w:val="none"/>
          <w:u w:val="none"/>
          <w:lang w:eastAsia="zh-CN"/>
        </w:rPr>
        <w:t>，</w:t>
      </w:r>
      <w:r>
        <w:rPr>
          <w:rFonts w:hint="eastAsia" w:ascii="宋体" w:hAnsi="宋体" w:eastAsia="宋体" w:cs="宋体"/>
          <w:b w:val="0"/>
          <w:bCs/>
          <w:color w:val="auto"/>
          <w:sz w:val="24"/>
          <w:szCs w:val="24"/>
          <w:highlight w:val="none"/>
        </w:rPr>
        <w:t>招标人为中色国际贸易有限公司</w:t>
      </w:r>
      <w:r>
        <w:rPr>
          <w:rFonts w:hint="eastAsia" w:ascii="宋体" w:hAnsi="宋体" w:eastAsia="宋体" w:cs="宋体"/>
          <w:b w:val="0"/>
          <w:bCs/>
          <w:color w:val="auto"/>
          <w:spacing w:val="-1"/>
          <w:sz w:val="24"/>
          <w:szCs w:val="24"/>
          <w:highlight w:val="none"/>
        </w:rPr>
        <w:t>，招标项目资金</w:t>
      </w:r>
      <w:r>
        <w:rPr>
          <w:rFonts w:hint="eastAsia" w:ascii="宋体" w:hAnsi="宋体" w:eastAsia="宋体" w:cs="宋体"/>
          <w:b w:val="0"/>
          <w:bCs/>
          <w:color w:val="auto"/>
          <w:sz w:val="24"/>
          <w:szCs w:val="24"/>
          <w:highlight w:val="none"/>
        </w:rPr>
        <w:t>来</w:t>
      </w:r>
      <w:r>
        <w:rPr>
          <w:rFonts w:hint="eastAsia" w:ascii="宋体" w:hAnsi="宋体" w:eastAsia="宋体" w:cs="宋体"/>
          <w:b w:val="0"/>
          <w:bCs/>
          <w:color w:val="auto"/>
          <w:spacing w:val="-1"/>
          <w:sz w:val="24"/>
          <w:szCs w:val="24"/>
          <w:highlight w:val="none"/>
        </w:rPr>
        <w:t>自</w:t>
      </w:r>
      <w:r>
        <w:rPr>
          <w:rFonts w:hint="eastAsia" w:ascii="宋体" w:hAnsi="宋体" w:eastAsia="宋体" w:cs="宋体"/>
          <w:b w:val="0"/>
          <w:bCs/>
          <w:color w:val="auto"/>
          <w:spacing w:val="-1"/>
          <w:sz w:val="24"/>
          <w:szCs w:val="24"/>
          <w:highlight w:val="none"/>
          <w:u w:val="single"/>
        </w:rPr>
        <w:t>自筹资金</w:t>
      </w:r>
      <w:r>
        <w:rPr>
          <w:rFonts w:hint="eastAsia" w:ascii="宋体" w:hAnsi="宋体" w:eastAsia="宋体" w:cs="宋体"/>
          <w:b w:val="0"/>
          <w:bCs/>
          <w:color w:val="auto"/>
          <w:spacing w:val="-27"/>
          <w:sz w:val="24"/>
          <w:szCs w:val="24"/>
          <w:highlight w:val="none"/>
        </w:rPr>
        <w:t>，</w:t>
      </w:r>
      <w:r>
        <w:rPr>
          <w:rFonts w:hint="eastAsia" w:ascii="宋体" w:hAnsi="宋体" w:eastAsia="宋体" w:cs="宋体"/>
          <w:b w:val="0"/>
          <w:bCs/>
          <w:color w:val="auto"/>
          <w:sz w:val="24"/>
          <w:szCs w:val="24"/>
          <w:highlight w:val="none"/>
        </w:rPr>
        <w:t>出</w:t>
      </w:r>
      <w:r>
        <w:rPr>
          <w:rFonts w:hint="eastAsia" w:ascii="宋体" w:hAnsi="宋体" w:eastAsia="宋体" w:cs="宋体"/>
          <w:b w:val="0"/>
          <w:bCs/>
          <w:color w:val="auto"/>
          <w:spacing w:val="-3"/>
          <w:sz w:val="24"/>
          <w:szCs w:val="24"/>
          <w:highlight w:val="none"/>
        </w:rPr>
        <w:t>资</w:t>
      </w:r>
      <w:r>
        <w:rPr>
          <w:rFonts w:hint="eastAsia" w:ascii="宋体" w:hAnsi="宋体" w:eastAsia="宋体" w:cs="宋体"/>
          <w:b w:val="0"/>
          <w:bCs/>
          <w:color w:val="auto"/>
          <w:sz w:val="24"/>
          <w:szCs w:val="24"/>
          <w:highlight w:val="none"/>
        </w:rPr>
        <w:t>比</w:t>
      </w:r>
      <w:r>
        <w:rPr>
          <w:rFonts w:hint="eastAsia" w:ascii="宋体" w:hAnsi="宋体" w:eastAsia="宋体" w:cs="宋体"/>
          <w:b w:val="0"/>
          <w:bCs/>
          <w:color w:val="auto"/>
          <w:spacing w:val="-3"/>
          <w:sz w:val="24"/>
          <w:szCs w:val="24"/>
          <w:highlight w:val="none"/>
        </w:rPr>
        <w:t>例</w:t>
      </w:r>
      <w:r>
        <w:rPr>
          <w:rFonts w:hint="eastAsia" w:ascii="宋体" w:hAnsi="宋体" w:eastAsia="宋体" w:cs="宋体"/>
          <w:b w:val="0"/>
          <w:bCs/>
          <w:color w:val="auto"/>
          <w:sz w:val="24"/>
          <w:szCs w:val="24"/>
          <w:highlight w:val="none"/>
          <w:u w:val="single"/>
        </w:rPr>
        <w:t>100%</w:t>
      </w:r>
      <w:r>
        <w:rPr>
          <w:rFonts w:hint="eastAsia" w:ascii="宋体" w:hAnsi="宋体" w:eastAsia="宋体" w:cs="宋体"/>
          <w:b w:val="0"/>
          <w:bCs/>
          <w:color w:val="auto"/>
          <w:spacing w:val="-27"/>
          <w:sz w:val="24"/>
          <w:szCs w:val="24"/>
          <w:highlight w:val="none"/>
        </w:rPr>
        <w:t>。</w:t>
      </w:r>
      <w:r>
        <w:rPr>
          <w:rFonts w:hint="eastAsia" w:ascii="宋体" w:hAnsi="宋体" w:eastAsia="宋体" w:cs="宋体"/>
          <w:b w:val="0"/>
          <w:bCs/>
          <w:color w:val="auto"/>
          <w:spacing w:val="-3"/>
          <w:sz w:val="24"/>
          <w:szCs w:val="24"/>
          <w:highlight w:val="none"/>
        </w:rPr>
        <w:t>该</w:t>
      </w:r>
      <w:r>
        <w:rPr>
          <w:rFonts w:hint="eastAsia" w:ascii="宋体" w:hAnsi="宋体" w:eastAsia="宋体" w:cs="宋体"/>
          <w:b w:val="0"/>
          <w:bCs/>
          <w:color w:val="auto"/>
          <w:sz w:val="24"/>
          <w:szCs w:val="24"/>
          <w:highlight w:val="none"/>
        </w:rPr>
        <w:t>项目</w:t>
      </w:r>
      <w:r>
        <w:rPr>
          <w:rFonts w:hint="eastAsia" w:ascii="宋体" w:hAnsi="宋体" w:eastAsia="宋体" w:cs="宋体"/>
          <w:b w:val="0"/>
          <w:bCs/>
          <w:color w:val="auto"/>
          <w:spacing w:val="-3"/>
          <w:sz w:val="24"/>
          <w:szCs w:val="24"/>
          <w:highlight w:val="none"/>
        </w:rPr>
        <w:t>已</w:t>
      </w:r>
      <w:r>
        <w:rPr>
          <w:rFonts w:hint="eastAsia" w:ascii="宋体" w:hAnsi="宋体" w:eastAsia="宋体" w:cs="宋体"/>
          <w:b w:val="0"/>
          <w:bCs/>
          <w:color w:val="auto"/>
          <w:sz w:val="24"/>
          <w:szCs w:val="24"/>
          <w:highlight w:val="none"/>
        </w:rPr>
        <w:t>具</w:t>
      </w:r>
      <w:r>
        <w:rPr>
          <w:rFonts w:hint="eastAsia" w:ascii="宋体" w:hAnsi="宋体" w:eastAsia="宋体" w:cs="宋体"/>
          <w:b w:val="0"/>
          <w:bCs/>
          <w:color w:val="auto"/>
          <w:spacing w:val="-3"/>
          <w:sz w:val="24"/>
          <w:szCs w:val="24"/>
          <w:highlight w:val="none"/>
        </w:rPr>
        <w:t>备</w:t>
      </w:r>
      <w:r>
        <w:rPr>
          <w:rFonts w:hint="eastAsia" w:ascii="宋体" w:hAnsi="宋体" w:eastAsia="宋体" w:cs="宋体"/>
          <w:b w:val="0"/>
          <w:bCs/>
          <w:color w:val="auto"/>
          <w:sz w:val="24"/>
          <w:szCs w:val="24"/>
          <w:highlight w:val="none"/>
        </w:rPr>
        <w:t>招</w:t>
      </w:r>
      <w:r>
        <w:rPr>
          <w:rFonts w:hint="eastAsia" w:ascii="宋体" w:hAnsi="宋体" w:eastAsia="宋体" w:cs="宋体"/>
          <w:b w:val="0"/>
          <w:bCs/>
          <w:color w:val="auto"/>
          <w:spacing w:val="-3"/>
          <w:sz w:val="24"/>
          <w:szCs w:val="24"/>
          <w:highlight w:val="none"/>
        </w:rPr>
        <w:t>标</w:t>
      </w:r>
      <w:r>
        <w:rPr>
          <w:rFonts w:hint="eastAsia" w:ascii="宋体" w:hAnsi="宋体" w:eastAsia="宋体" w:cs="宋体"/>
          <w:b w:val="0"/>
          <w:bCs/>
          <w:color w:val="auto"/>
          <w:sz w:val="24"/>
          <w:szCs w:val="24"/>
          <w:highlight w:val="none"/>
        </w:rPr>
        <w:t>条件，现对</w:t>
      </w:r>
      <w:r>
        <w:rPr>
          <w:rFonts w:hint="eastAsia" w:cs="宋体"/>
          <w:b w:val="0"/>
          <w:bCs/>
          <w:color w:val="auto"/>
          <w:sz w:val="24"/>
          <w:szCs w:val="24"/>
          <w:highlight w:val="none"/>
          <w:u w:val="single"/>
          <w:lang w:val="en-US" w:eastAsia="zh-CN"/>
        </w:rPr>
        <w:t>矿车及卸载架</w:t>
      </w:r>
      <w:r>
        <w:rPr>
          <w:rFonts w:hint="eastAsia" w:ascii="宋体" w:hAnsi="宋体" w:eastAsia="宋体" w:cs="宋体"/>
          <w:b w:val="0"/>
          <w:bCs/>
          <w:color w:val="auto"/>
          <w:sz w:val="24"/>
          <w:szCs w:val="24"/>
          <w:highlight w:val="none"/>
        </w:rPr>
        <w:t>采购进行公开招标（招标编号：</w:t>
      </w:r>
      <w:r>
        <w:rPr>
          <w:rFonts w:hint="eastAsia"/>
          <w:b w:val="0"/>
          <w:bCs/>
          <w:color w:val="auto"/>
          <w:sz w:val="24"/>
          <w:szCs w:val="24"/>
          <w:highlight w:val="none"/>
        </w:rPr>
        <w:t>CNIT2025-117</w:t>
      </w:r>
      <w:r>
        <w:rPr>
          <w:rFonts w:hint="eastAsia" w:ascii="宋体" w:hAnsi="宋体" w:eastAsia="宋体" w:cs="宋体"/>
          <w:b w:val="0"/>
          <w:bCs/>
          <w:color w:val="auto"/>
          <w:sz w:val="24"/>
          <w:szCs w:val="24"/>
          <w:highlight w:val="none"/>
        </w:rPr>
        <w:t>）。</w:t>
      </w:r>
      <w:bookmarkEnd w:id="22"/>
      <w:bookmarkEnd w:id="23"/>
      <w:bookmarkEnd w:id="24"/>
      <w:bookmarkEnd w:id="25"/>
      <w:bookmarkEnd w:id="26"/>
    </w:p>
    <w:p>
      <w:pPr>
        <w:pStyle w:val="5"/>
        <w:spacing w:line="360" w:lineRule="auto"/>
        <w:rPr>
          <w:rFonts w:hint="eastAsia" w:ascii="宋体" w:hAnsi="宋体" w:eastAsia="宋体" w:cs="宋体"/>
          <w:color w:val="auto"/>
          <w:sz w:val="24"/>
          <w:szCs w:val="24"/>
          <w:highlight w:val="none"/>
        </w:rPr>
      </w:pPr>
      <w:bookmarkStart w:id="27" w:name="_Toc22078"/>
      <w:bookmarkStart w:id="28" w:name="_Toc20055"/>
      <w:bookmarkStart w:id="29" w:name="_Toc19102"/>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项目概况</w:t>
      </w:r>
      <w:bookmarkEnd w:id="27"/>
      <w:bookmarkEnd w:id="28"/>
      <w:bookmarkEnd w:id="29"/>
    </w:p>
    <w:p>
      <w:pPr>
        <w:pStyle w:val="13"/>
        <w:keepNext w:val="0"/>
        <w:keepLines w:val="0"/>
        <w:pageBreakBefore w:val="0"/>
        <w:widowControl w:val="0"/>
        <w:kinsoku/>
        <w:wordWrap/>
        <w:overflowPunct/>
        <w:topLinePunct w:val="0"/>
        <w:autoSpaceDE/>
        <w:autoSpaceDN/>
        <w:bidi w:val="0"/>
        <w:snapToGrid/>
        <w:spacing w:line="360" w:lineRule="auto"/>
        <w:rPr>
          <w:rFonts w:hint="eastAsia" w:ascii="宋体" w:hAnsi="宋体" w:eastAsia="宋体" w:cs="宋体"/>
          <w:color w:val="auto"/>
          <w:sz w:val="24"/>
          <w:szCs w:val="24"/>
          <w:highlight w:val="none"/>
          <w:lang w:val="en-US" w:eastAsia="zh-CN"/>
        </w:rPr>
      </w:pPr>
      <w:bookmarkStart w:id="30" w:name="_Toc10437"/>
      <w:bookmarkStart w:id="31" w:name="_Toc11812"/>
      <w:bookmarkStart w:id="32" w:name="_Toc31502"/>
      <w:bookmarkStart w:id="33" w:name="_Toc13527"/>
      <w:bookmarkStart w:id="34" w:name="_Toc20756"/>
      <w:bookmarkStart w:id="35" w:name="_Toc65848091"/>
      <w:r>
        <w:rPr>
          <w:rFonts w:hint="eastAsia" w:ascii="宋体" w:hAnsi="宋体" w:eastAsia="宋体" w:cs="宋体"/>
          <w:color w:val="auto"/>
          <w:sz w:val="24"/>
          <w:szCs w:val="24"/>
          <w:highlight w:val="none"/>
          <w:lang w:val="en-US" w:eastAsia="zh-CN"/>
        </w:rPr>
        <w:t>中色卢安夏铜业</w:t>
      </w:r>
      <w:r>
        <w:rPr>
          <w:rFonts w:hint="eastAsia" w:ascii="宋体" w:hAnsi="宋体" w:cs="宋体"/>
          <w:color w:val="auto"/>
          <w:sz w:val="24"/>
          <w:szCs w:val="24"/>
          <w:highlight w:val="none"/>
          <w:lang w:val="en-US" w:eastAsia="zh-CN"/>
        </w:rPr>
        <w:t>有限公司</w:t>
      </w:r>
      <w:r>
        <w:rPr>
          <w:rFonts w:hint="eastAsia" w:ascii="宋体" w:hAnsi="宋体" w:eastAsia="宋体" w:cs="宋体"/>
          <w:color w:val="auto"/>
          <w:sz w:val="24"/>
          <w:szCs w:val="24"/>
          <w:highlight w:val="none"/>
          <w:lang w:val="en-US" w:eastAsia="zh-CN"/>
        </w:rPr>
        <w:t>是中国有色矿业集团有限公司与赞比亚联合铜业控股公司的合资公司投资的项目。主营业务为铜资源的采选冶，主要产品有高纯度阴极铜和铜精矿。其中，穆里亚西露天矿和湿法厂，年产能40,000t阴极铜；炉渣选矿厂年产能铜精矿20,000t，精矿含铜3,500t；巴鲁巴年产能60,000t铜精矿，精矿含铜10,000t。全公司年产能阴极铜和铜精矿含铜总计53,500t。</w:t>
      </w:r>
    </w:p>
    <w:p>
      <w:pPr>
        <w:pStyle w:val="5"/>
        <w:numPr>
          <w:ilvl w:val="0"/>
          <w:numId w:val="0"/>
        </w:numPr>
        <w:spacing w:line="360" w:lineRule="auto"/>
        <w:ind w:firstLine="482" w:firstLineChars="200"/>
        <w:rPr>
          <w:rFonts w:hint="eastAsia" w:ascii="宋体" w:hAnsi="宋体" w:eastAsia="宋体" w:cs="宋体"/>
          <w:color w:val="auto"/>
          <w:sz w:val="24"/>
          <w:szCs w:val="24"/>
          <w:highlight w:val="none"/>
        </w:rPr>
      </w:pPr>
      <w:bookmarkStart w:id="36" w:name="_Toc11473"/>
      <w:bookmarkStart w:id="37" w:name="_Toc18925"/>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招标范围</w:t>
      </w:r>
      <w:bookmarkEnd w:id="30"/>
      <w:bookmarkEnd w:id="36"/>
      <w:bookmarkEnd w:id="37"/>
    </w:p>
    <w:bookmarkEnd w:id="31"/>
    <w:bookmarkEnd w:id="32"/>
    <w:bookmarkEnd w:id="33"/>
    <w:bookmarkEnd w:id="34"/>
    <w:p>
      <w:pPr>
        <w:numPr>
          <w:ilvl w:val="0"/>
          <w:numId w:val="0"/>
        </w:numPr>
        <w:adjustRightInd w:val="0"/>
        <w:spacing w:line="360" w:lineRule="auto"/>
        <w:ind w:firstLine="480" w:firstLineChars="200"/>
        <w:contextualSpacing/>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bidi="ar-SA"/>
        </w:rPr>
        <w:t xml:space="preserve">3.1 </w:t>
      </w:r>
      <w:r>
        <w:rPr>
          <w:rFonts w:hint="eastAsia" w:cs="宋体"/>
          <w:color w:val="auto"/>
          <w:sz w:val="24"/>
          <w:szCs w:val="24"/>
          <w:highlight w:val="none"/>
          <w:lang w:val="en-US" w:eastAsia="zh-CN" w:bidi="ar-SA"/>
        </w:rPr>
        <w:t>矿车及卸载架</w:t>
      </w:r>
      <w:r>
        <w:rPr>
          <w:rFonts w:hint="eastAsia" w:ascii="宋体" w:hAnsi="宋体" w:eastAsia="宋体" w:cs="宋体"/>
          <w:color w:val="auto"/>
          <w:sz w:val="24"/>
          <w:szCs w:val="24"/>
          <w:highlight w:val="none"/>
          <w:lang w:val="en-US" w:eastAsia="zh-CN"/>
        </w:rPr>
        <w:t>供货范围：</w:t>
      </w:r>
    </w:p>
    <w:tbl>
      <w:tblPr>
        <w:tblStyle w:val="36"/>
        <w:tblW w:w="91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2632"/>
        <w:gridCol w:w="3102"/>
        <w:gridCol w:w="859"/>
        <w:gridCol w:w="859"/>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trPr>
        <w:tc>
          <w:tcPr>
            <w:tcW w:w="856" w:type="dxa"/>
            <w:vAlign w:val="center"/>
          </w:tcPr>
          <w:p>
            <w:pPr>
              <w:pStyle w:val="17"/>
              <w:spacing w:line="36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632" w:type="dxa"/>
            <w:vAlign w:val="center"/>
          </w:tcPr>
          <w:p>
            <w:pPr>
              <w:pStyle w:val="17"/>
              <w:spacing w:line="36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产品名称</w:t>
            </w:r>
          </w:p>
        </w:tc>
        <w:tc>
          <w:tcPr>
            <w:tcW w:w="3102" w:type="dxa"/>
            <w:vAlign w:val="center"/>
          </w:tcPr>
          <w:p>
            <w:pPr>
              <w:pStyle w:val="17"/>
              <w:spacing w:line="36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规格型号</w:t>
            </w:r>
          </w:p>
        </w:tc>
        <w:tc>
          <w:tcPr>
            <w:tcW w:w="859" w:type="dxa"/>
            <w:vAlign w:val="center"/>
          </w:tcPr>
          <w:p>
            <w:pPr>
              <w:pStyle w:val="17"/>
              <w:spacing w:line="36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单位</w:t>
            </w:r>
          </w:p>
        </w:tc>
        <w:tc>
          <w:tcPr>
            <w:tcW w:w="859" w:type="dxa"/>
            <w:vAlign w:val="center"/>
          </w:tcPr>
          <w:p>
            <w:pPr>
              <w:pStyle w:val="17"/>
              <w:spacing w:line="36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数量</w:t>
            </w:r>
          </w:p>
        </w:tc>
        <w:tc>
          <w:tcPr>
            <w:tcW w:w="859" w:type="dxa"/>
            <w:vAlign w:val="center"/>
          </w:tcPr>
          <w:p>
            <w:pPr>
              <w:pStyle w:val="17"/>
              <w:spacing w:line="36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56"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2632" w:type="dxa"/>
            <w:vAlign w:val="center"/>
          </w:tcPr>
          <w:p>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单侧曲轨侧卸式矿车</w:t>
            </w:r>
          </w:p>
        </w:tc>
        <w:tc>
          <w:tcPr>
            <w:tcW w:w="3102" w:type="dxa"/>
            <w:vAlign w:val="center"/>
          </w:tcPr>
          <w:p>
            <w:pPr>
              <w:spacing w:line="36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YCC4-7，</w:t>
            </w:r>
            <w:r>
              <w:rPr>
                <w:rFonts w:hint="default" w:ascii="Times New Roman" w:hAnsi="Times New Roman" w:cs="Times New Roman"/>
                <w:color w:val="auto"/>
                <w:sz w:val="21"/>
                <w:szCs w:val="21"/>
                <w:highlight w:val="none"/>
              </w:rPr>
              <w:t>全新设备</w:t>
            </w:r>
            <w:r>
              <w:rPr>
                <w:rFonts w:hint="default" w:ascii="Times New Roman" w:hAnsi="Times New Roman" w:cs="Times New Roman"/>
                <w:color w:val="auto"/>
                <w:sz w:val="21"/>
                <w:szCs w:val="21"/>
                <w:highlight w:val="none"/>
                <w:lang w:val="en-US" w:eastAsia="zh-CN"/>
              </w:rPr>
              <w:t>，4M3，762mm</w:t>
            </w:r>
            <w:r>
              <w:rPr>
                <w:rFonts w:hint="default" w:ascii="Times New Roman" w:hAnsi="Times New Roman" w:cs="Times New Roman"/>
                <w:color w:val="auto"/>
                <w:sz w:val="21"/>
                <w:szCs w:val="21"/>
                <w:highlight w:val="none"/>
              </w:rPr>
              <w:t>轨距</w:t>
            </w:r>
            <w:r>
              <w:rPr>
                <w:rFonts w:hint="default" w:ascii="Times New Roman" w:hAnsi="Times New Roman" w:cs="Times New Roman"/>
                <w:color w:val="auto"/>
                <w:sz w:val="21"/>
                <w:szCs w:val="21"/>
                <w:highlight w:val="none"/>
                <w:lang w:eastAsia="zh-CN"/>
              </w:rPr>
              <w:t>，</w:t>
            </w:r>
            <w:r>
              <w:rPr>
                <w:rFonts w:hint="default" w:ascii="Times New Roman" w:hAnsi="Times New Roman" w:eastAsia="宋体" w:cs="Times New Roman"/>
                <w:b w:val="0"/>
                <w:bCs w:val="0"/>
                <w:color w:val="auto"/>
                <w:sz w:val="21"/>
                <w:szCs w:val="21"/>
                <w:highlight w:val="none"/>
                <w:lang w:val="en-US" w:eastAsia="zh-CN"/>
              </w:rPr>
              <w:t>采用自动碰头</w:t>
            </w:r>
          </w:p>
        </w:tc>
        <w:tc>
          <w:tcPr>
            <w:tcW w:w="859"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i w:val="0"/>
                <w:iCs w:val="0"/>
                <w:color w:val="auto"/>
                <w:kern w:val="0"/>
                <w:sz w:val="21"/>
                <w:szCs w:val="21"/>
                <w:highlight w:val="none"/>
                <w:u w:val="none"/>
                <w:lang w:val="en-US" w:eastAsia="zh-CN" w:bidi="ar"/>
              </w:rPr>
              <w:t>台</w:t>
            </w:r>
          </w:p>
        </w:tc>
        <w:tc>
          <w:tcPr>
            <w:tcW w:w="859"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30</w:t>
            </w:r>
          </w:p>
        </w:tc>
        <w:tc>
          <w:tcPr>
            <w:tcW w:w="859"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56"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w:t>
            </w:r>
          </w:p>
        </w:tc>
        <w:tc>
          <w:tcPr>
            <w:tcW w:w="2632" w:type="dxa"/>
            <w:vAlign w:val="center"/>
          </w:tcPr>
          <w:p>
            <w:pPr>
              <w:spacing w:line="360" w:lineRule="auto"/>
              <w:ind w:left="0" w:leftChars="0" w:firstLine="0" w:firstLine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卸载架</w:t>
            </w:r>
          </w:p>
        </w:tc>
        <w:tc>
          <w:tcPr>
            <w:tcW w:w="3102"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配套上述矿车和对应电机车使用</w:t>
            </w:r>
          </w:p>
        </w:tc>
        <w:tc>
          <w:tcPr>
            <w:tcW w:w="859"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台</w:t>
            </w:r>
          </w:p>
        </w:tc>
        <w:tc>
          <w:tcPr>
            <w:tcW w:w="859"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4</w:t>
            </w:r>
          </w:p>
        </w:tc>
        <w:tc>
          <w:tcPr>
            <w:tcW w:w="859"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bl>
    <w:p>
      <w:pPr>
        <w:numPr>
          <w:ilvl w:val="0"/>
          <w:numId w:val="0"/>
        </w:numPr>
        <w:adjustRightInd w:val="0"/>
        <w:spacing w:line="360" w:lineRule="auto"/>
        <w:ind w:firstLine="480" w:firstLineChars="200"/>
        <w:contextualSpacing/>
        <w:rPr>
          <w:rFonts w:hint="eastAsia"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 xml:space="preserve"> </w:t>
      </w:r>
      <w:r>
        <w:rPr>
          <w:rFonts w:hint="eastAsia" w:ascii="Times New Roman" w:hAnsi="Times New Roman" w:cs="Times New Roman"/>
          <w:color w:val="auto"/>
          <w:sz w:val="24"/>
          <w:szCs w:val="24"/>
          <w:highlight w:val="none"/>
          <w:lang w:val="en-US" w:eastAsia="zh-CN"/>
        </w:rPr>
        <w:t>交货时间和交货地点</w:t>
      </w:r>
    </w:p>
    <w:p>
      <w:pPr>
        <w:numPr>
          <w:ilvl w:val="0"/>
          <w:numId w:val="0"/>
        </w:numPr>
        <w:adjustRightInd w:val="0"/>
        <w:spacing w:line="360" w:lineRule="auto"/>
        <w:ind w:firstLine="480" w:firstLineChars="200"/>
        <w:contextualSpacing/>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交付时间：</w:t>
      </w:r>
      <w:r>
        <w:rPr>
          <w:rFonts w:hint="default" w:ascii="Times New Roman" w:hAnsi="Times New Roman" w:eastAsia="宋体" w:cs="Times New Roman"/>
          <w:color w:val="auto"/>
          <w:sz w:val="24"/>
          <w:szCs w:val="24"/>
          <w:highlight w:val="none"/>
          <w:lang w:val="en-US" w:eastAsia="zh-CN"/>
        </w:rPr>
        <w:t>合同生效后</w:t>
      </w:r>
      <w:r>
        <w:rPr>
          <w:rFonts w:hint="default" w:ascii="Times New Roman" w:hAnsi="Times New Roman" w:cs="Times New Roman"/>
          <w:color w:val="auto"/>
          <w:sz w:val="24"/>
          <w:szCs w:val="24"/>
          <w:highlight w:val="none"/>
          <w:lang w:val="en-US" w:eastAsia="zh-CN"/>
        </w:rPr>
        <w:t>4个月</w:t>
      </w:r>
      <w:r>
        <w:rPr>
          <w:rFonts w:hint="default" w:ascii="Times New Roman" w:hAnsi="Times New Roman" w:eastAsia="宋体" w:cs="Times New Roman"/>
          <w:color w:val="auto"/>
          <w:sz w:val="24"/>
          <w:szCs w:val="24"/>
          <w:highlight w:val="none"/>
          <w:lang w:val="en-US" w:eastAsia="zh-CN"/>
        </w:rPr>
        <w:t>内。</w:t>
      </w:r>
    </w:p>
    <w:p>
      <w:pPr>
        <w:numPr>
          <w:ilvl w:val="0"/>
          <w:numId w:val="0"/>
        </w:numPr>
        <w:adjustRightInd w:val="0"/>
        <w:spacing w:line="360" w:lineRule="auto"/>
        <w:ind w:firstLine="480" w:firstLineChars="200"/>
        <w:contextualSpacing/>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交货地点：招标人上海港指定交货地。</w:t>
      </w:r>
    </w:p>
    <w:p>
      <w:pPr>
        <w:numPr>
          <w:ilvl w:val="0"/>
          <w:numId w:val="0"/>
        </w:numPr>
        <w:adjustRightInd w:val="0"/>
        <w:spacing w:line="360" w:lineRule="auto"/>
        <w:ind w:firstLine="480" w:firstLineChars="200"/>
        <w:contextualSpacing/>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3.3 其他要求：精密仪器、仪表、控制盘 (台) 等电气设备应使用真空镀铝膜进行防潮处理，同时在做好防锈防震包装处理后再装箱。易碎设备（如绝缘瓷瓶等）应先装入小型纸箱或木箱后再装箱。设备在木箱底托上应固定牢靠，不得发生移位或窜动。包装箱充满度不低于 90%。设备装箱时尽量使其重心位置居中靠下，重心偏高的设备尽可能采用卧式包装。重心偏离中心较明显的设备须采取相应的平衡措施。</w:t>
      </w:r>
    </w:p>
    <w:bookmarkEnd w:id="17"/>
    <w:bookmarkEnd w:id="35"/>
    <w:p>
      <w:pPr>
        <w:pStyle w:val="5"/>
        <w:spacing w:line="360" w:lineRule="auto"/>
        <w:rPr>
          <w:rFonts w:hint="default" w:ascii="Times New Roman" w:hAnsi="Times New Roman" w:eastAsia="宋体" w:cs="Times New Roman"/>
          <w:color w:val="auto"/>
          <w:sz w:val="24"/>
          <w:szCs w:val="24"/>
          <w:highlight w:val="none"/>
        </w:rPr>
      </w:pPr>
      <w:bookmarkStart w:id="38" w:name="_Toc29729"/>
      <w:bookmarkStart w:id="39" w:name="_Toc15755"/>
      <w:bookmarkStart w:id="40" w:name="_Toc19090"/>
      <w:bookmarkStart w:id="41" w:name="_Toc9342"/>
      <w:bookmarkStart w:id="42" w:name="_Toc2683"/>
      <w:bookmarkStart w:id="43" w:name="_Toc65848107"/>
      <w:bookmarkStart w:id="44" w:name="_Hlk77750535"/>
      <w:r>
        <w:rPr>
          <w:rFonts w:hint="default" w:ascii="Times New Roman" w:hAnsi="Times New Roman" w:eastAsia="宋体" w:cs="Times New Roman"/>
          <w:color w:val="auto"/>
          <w:sz w:val="24"/>
          <w:szCs w:val="24"/>
          <w:highlight w:val="none"/>
        </w:rPr>
        <w:t>★4.投标人资格要求</w:t>
      </w:r>
      <w:bookmarkEnd w:id="38"/>
      <w:bookmarkEnd w:id="39"/>
      <w:bookmarkEnd w:id="40"/>
      <w:bookmarkEnd w:id="41"/>
      <w:bookmarkEnd w:id="42"/>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4.1 资格要求： </w:t>
      </w:r>
    </w:p>
    <w:p>
      <w:pPr>
        <w:pStyle w:val="13"/>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（1）资质要求：有效的营业执照、组织机构代码证、税务登记证（如果三证合一或五证合一只需要提供营业执照）。投标人必须是具有独立承担民事责任能力的在中华人民共和国境内注册的法人或非法人组织</w:t>
      </w:r>
      <w:r>
        <w:rPr>
          <w:rFonts w:hint="default" w:ascii="Times New Roman" w:hAnsi="Times New Roman" w:eastAsia="宋体" w:cs="Times New Roman"/>
          <w:color w:val="auto"/>
          <w:sz w:val="24"/>
          <w:szCs w:val="24"/>
          <w:highlight w:val="none"/>
          <w:lang w:eastAsia="zh-CN"/>
        </w:rPr>
        <w:t>。</w:t>
      </w:r>
    </w:p>
    <w:p>
      <w:pPr>
        <w:pStyle w:val="13"/>
        <w:spacing w:line="360" w:lineRule="auto"/>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color w:val="auto"/>
          <w:sz w:val="24"/>
          <w:szCs w:val="24"/>
          <w:highlight w:val="none"/>
        </w:rPr>
        <w:t>（2）财务要求：</w:t>
      </w:r>
      <w:r>
        <w:rPr>
          <w:rFonts w:hint="default" w:ascii="Times New Roman" w:hAnsi="Times New Roman" w:eastAsia="宋体" w:cs="Times New Roman"/>
          <w:color w:val="auto"/>
          <w:sz w:val="24"/>
          <w:szCs w:val="24"/>
          <w:highlight w:val="none"/>
          <w:lang w:eastAsia="zh-CN"/>
        </w:rPr>
        <w:t>资金财务状况良好，具有履行合同的能力；没有处于被责令停业，投标资格被取消，财产被接管、冻结，破产状态</w:t>
      </w:r>
      <w:r>
        <w:rPr>
          <w:rFonts w:hint="default" w:ascii="Times New Roman" w:hAnsi="Times New Roman" w:eastAsia="宋体" w:cs="Times New Roman"/>
          <w:b w:val="0"/>
          <w:bCs w:val="0"/>
          <w:color w:val="auto"/>
          <w:sz w:val="24"/>
          <w:szCs w:val="24"/>
          <w:highlight w:val="none"/>
          <w:lang w:eastAsia="zh-CN"/>
        </w:rPr>
        <w:t>；投标人需提供</w:t>
      </w:r>
      <w:r>
        <w:rPr>
          <w:rFonts w:hint="default" w:ascii="Times New Roman" w:hAnsi="Times New Roman" w:eastAsia="宋体" w:cs="Times New Roman"/>
          <w:b w:val="0"/>
          <w:bCs w:val="0"/>
          <w:color w:val="auto"/>
          <w:sz w:val="24"/>
          <w:szCs w:val="24"/>
          <w:highlight w:val="none"/>
          <w:lang w:val="en-US" w:eastAsia="zh-CN"/>
        </w:rPr>
        <w:t>2022至2024</w:t>
      </w:r>
      <w:r>
        <w:rPr>
          <w:rFonts w:hint="default" w:ascii="Times New Roman" w:hAnsi="Times New Roman" w:eastAsia="宋体" w:cs="Times New Roman"/>
          <w:b w:val="0"/>
          <w:bCs w:val="0"/>
          <w:color w:val="auto"/>
          <w:sz w:val="24"/>
          <w:szCs w:val="24"/>
          <w:highlight w:val="none"/>
          <w:lang w:eastAsia="zh-CN"/>
        </w:rPr>
        <w:t>审计报告或财务报表</w:t>
      </w:r>
      <w:r>
        <w:rPr>
          <w:rFonts w:hint="default" w:ascii="Times New Roman" w:hAnsi="Times New Roman" w:eastAsia="宋体" w:cs="Times New Roman"/>
          <w:b w:val="0"/>
          <w:bCs w:val="0"/>
          <w:color w:val="auto"/>
          <w:sz w:val="24"/>
          <w:szCs w:val="24"/>
          <w:highlight w:val="none"/>
        </w:rPr>
        <w:t>（财务报表应包括资产负债表、现金流量表、利润表，投标人应保证财务报表真实有效，如存在弄虚造假问题，招标人保留追索的权利。投标人的成立时间少于规定年份的，应提供成立以来的财务状况表）</w:t>
      </w:r>
      <w:r>
        <w:rPr>
          <w:rFonts w:hint="default" w:ascii="Times New Roman" w:hAnsi="Times New Roman" w:eastAsia="宋体" w:cs="Times New Roman"/>
          <w:b w:val="0"/>
          <w:bCs w:val="0"/>
          <w:color w:val="auto"/>
          <w:sz w:val="24"/>
          <w:szCs w:val="24"/>
          <w:highlight w:val="none"/>
          <w:lang w:eastAsia="zh-CN"/>
        </w:rPr>
        <w:t>。</w:t>
      </w:r>
    </w:p>
    <w:p>
      <w:pPr>
        <w:spacing w:line="360" w:lineRule="auto"/>
        <w:ind w:firstLine="480" w:firstLineChars="20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rPr>
        <w:t>（3）业绩要求：</w:t>
      </w:r>
      <w:r>
        <w:rPr>
          <w:rFonts w:hint="default" w:ascii="Times New Roman" w:hAnsi="Times New Roman" w:eastAsia="宋体" w:cs="Times New Roman"/>
          <w:b w:val="0"/>
          <w:bCs w:val="0"/>
          <w:color w:val="auto"/>
          <w:sz w:val="24"/>
          <w:szCs w:val="24"/>
          <w:highlight w:val="none"/>
          <w:lang w:val="en-US" w:eastAsia="zh-CN"/>
        </w:rPr>
        <w:t>自2022年1月1日</w:t>
      </w:r>
      <w:r>
        <w:rPr>
          <w:rFonts w:hint="default" w:ascii="Times New Roman" w:hAnsi="Times New Roman" w:eastAsia="宋体" w:cs="Times New Roman"/>
          <w:b w:val="0"/>
          <w:bCs w:val="0"/>
          <w:color w:val="auto"/>
          <w:sz w:val="24"/>
          <w:szCs w:val="24"/>
          <w:highlight w:val="none"/>
          <w:lang w:val="en-US" w:eastAsia="zh-CN" w:bidi="ar-SA"/>
        </w:rPr>
        <w:t>至投标截止日止以来有类似招标材料的供货业绩，提供合同（含合同首尾页、盖章页、合同标的、规模等有关内容）或销售发票扫描件等证明资料。</w:t>
      </w:r>
    </w:p>
    <w:p>
      <w:pPr>
        <w:pStyle w:val="13"/>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val="0"/>
          <w:bCs w:val="0"/>
          <w:color w:val="auto"/>
          <w:sz w:val="24"/>
          <w:szCs w:val="24"/>
          <w:highlight w:val="none"/>
        </w:rPr>
        <w:t>（4）信誉要求：应提供商业信誉承诺书（格式请见</w:t>
      </w:r>
      <w:r>
        <w:rPr>
          <w:rFonts w:hint="default" w:ascii="Times New Roman" w:hAnsi="Times New Roman" w:eastAsia="宋体" w:cs="Times New Roman"/>
          <w:color w:val="auto"/>
          <w:sz w:val="24"/>
          <w:szCs w:val="24"/>
          <w:highlight w:val="none"/>
        </w:rPr>
        <w:t>第七章投标文件格式第七项资格审查资料）。未被“信用中国”网站（http://www.creditchina.gov.cn）列入失信被执行人、重大税收违法案件当事人名单、未被工商行政管理机关在全国企业信用信息公示系统（http://www.gsxt.gov.cn）中列入严重违法失信企业名单</w:t>
      </w:r>
      <w:r>
        <w:rPr>
          <w:rFonts w:hint="default" w:ascii="Times New Roman" w:hAnsi="Times New Roman" w:eastAsia="宋体" w:cs="Times New Roman"/>
          <w:color w:val="auto"/>
          <w:sz w:val="24"/>
          <w:szCs w:val="24"/>
          <w:highlight w:val="none"/>
          <w:lang w:eastAsia="zh-CN"/>
        </w:rPr>
        <w:t>。</w:t>
      </w:r>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（5）其他要求：a. 投标人在制造商授权下参与本招标项目的为代理商，应提供制造商授权书（格式见第七章投标文件格式第七项资格审查资料），投标人为代理商的，对投标人的资质要求包含对制造商的资质要求。无制造商授权书或持有其他格式的制造商授权文件的投标人，视为经销商允许参与投标。</w:t>
      </w:r>
    </w:p>
    <w:p>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b.具有有效的国家相关法律法规规定的相关许可证（包括但不限于工业产品生产许可证、安全生产许可证、特种材料生产许可证、制造、维修计量器具许可证等）。相关产品具有有效的国家规定的强制认证证书。如标的物无国家法律法规规定的相关许可、无国家强制认证证书的，无需提供相关许可证、证书。</w:t>
      </w:r>
    </w:p>
    <w:p>
      <w:pPr>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（6）如招标文件中其他章节内容与本部分内容有冲突，应以本部分内容为准。</w:t>
      </w:r>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4.2 </w:t>
      </w:r>
      <w:r>
        <w:rPr>
          <w:rFonts w:hint="default" w:ascii="Times New Roman" w:hAnsi="Times New Roman" w:eastAsia="宋体" w:cs="Times New Roman"/>
          <w:color w:val="auto"/>
          <w:spacing w:val="8"/>
          <w:sz w:val="24"/>
          <w:szCs w:val="24"/>
          <w:highlight w:val="none"/>
        </w:rPr>
        <w:t>本次招标</w:t>
      </w:r>
      <w:r>
        <w:rPr>
          <w:rFonts w:hint="default" w:ascii="Times New Roman" w:hAnsi="Times New Roman" w:eastAsia="宋体" w:cs="Times New Roman"/>
          <w:color w:val="auto"/>
          <w:sz w:val="24"/>
          <w:szCs w:val="24"/>
          <w:highlight w:val="none"/>
        </w:rPr>
        <w:t>不接受</w:t>
      </w:r>
      <w:r>
        <w:rPr>
          <w:rFonts w:hint="default" w:ascii="Times New Roman" w:hAnsi="Times New Roman" w:eastAsia="宋体" w:cs="Times New Roman"/>
          <w:color w:val="auto"/>
          <w:spacing w:val="7"/>
          <w:sz w:val="24"/>
          <w:szCs w:val="24"/>
          <w:highlight w:val="none"/>
        </w:rPr>
        <w:t>联合体投标。</w:t>
      </w:r>
    </w:p>
    <w:p>
      <w:pPr>
        <w:pStyle w:val="13"/>
        <w:spacing w:line="360" w:lineRule="auto"/>
        <w:ind w:firstLine="482"/>
        <w:rPr>
          <w:rFonts w:hint="default" w:ascii="Times New Roman" w:hAnsi="Times New Roman" w:eastAsia="宋体" w:cs="Times New Roman"/>
          <w:color w:val="auto"/>
          <w:sz w:val="24"/>
          <w:szCs w:val="24"/>
          <w:highlight w:val="none"/>
        </w:rPr>
      </w:pPr>
      <w:bookmarkStart w:id="45" w:name="_Toc26607"/>
      <w:bookmarkStart w:id="46" w:name="_Toc23215"/>
      <w:bookmarkStart w:id="47" w:name="_Toc18991"/>
      <w:bookmarkStart w:id="48" w:name="_Toc65848092"/>
      <w:bookmarkStart w:id="49" w:name="_Toc28390"/>
      <w:r>
        <w:rPr>
          <w:rFonts w:hint="default" w:ascii="Times New Roman" w:hAnsi="Times New Roman" w:eastAsia="宋体" w:cs="Times New Roman"/>
          <w:b/>
          <w:bCs/>
          <w:color w:val="auto"/>
          <w:sz w:val="24"/>
          <w:szCs w:val="24"/>
          <w:highlight w:val="none"/>
        </w:rPr>
        <w:t>4.3 不满足招标文件中加注★的条款，或已注明为实质性要求的条款，评标委员会有权否决其投标。</w:t>
      </w:r>
    </w:p>
    <w:p>
      <w:pPr>
        <w:pStyle w:val="5"/>
        <w:spacing w:line="360" w:lineRule="auto"/>
        <w:rPr>
          <w:rFonts w:hint="default" w:ascii="Times New Roman" w:hAnsi="Times New Roman" w:eastAsia="宋体" w:cs="Times New Roman"/>
          <w:b/>
          <w:bCs/>
          <w:color w:val="auto"/>
          <w:sz w:val="24"/>
          <w:szCs w:val="24"/>
          <w:highlight w:val="none"/>
        </w:rPr>
      </w:pPr>
      <w:bookmarkStart w:id="50" w:name="_Toc25909"/>
      <w:bookmarkStart w:id="51" w:name="_Toc22242"/>
      <w:bookmarkStart w:id="52" w:name="_Toc25452"/>
      <w:r>
        <w:rPr>
          <w:rFonts w:hint="default" w:ascii="Times New Roman" w:hAnsi="Times New Roman" w:eastAsia="宋体" w:cs="Times New Roman"/>
          <w:b/>
          <w:bCs/>
          <w:color w:val="auto"/>
          <w:sz w:val="24"/>
          <w:szCs w:val="24"/>
          <w:highlight w:val="none"/>
          <w:lang w:val="en-US" w:eastAsia="zh-CN" w:bidi="ar-SA"/>
        </w:rPr>
        <w:t>5.招标文件的获取</w:t>
      </w:r>
      <w:bookmarkEnd w:id="45"/>
      <w:bookmarkEnd w:id="46"/>
      <w:bookmarkEnd w:id="47"/>
      <w:bookmarkEnd w:id="48"/>
      <w:bookmarkEnd w:id="49"/>
      <w:bookmarkEnd w:id="50"/>
      <w:bookmarkEnd w:id="51"/>
      <w:bookmarkEnd w:id="52"/>
    </w:p>
    <w:p>
      <w:pPr>
        <w:pStyle w:val="13"/>
        <w:spacing w:line="360" w:lineRule="auto"/>
        <w:jc w:val="left"/>
        <w:rPr>
          <w:rFonts w:hint="default" w:ascii="Times New Roman" w:hAnsi="Times New Roman" w:eastAsia="宋体" w:cs="Times New Roman"/>
          <w:color w:val="auto"/>
          <w:sz w:val="24"/>
          <w:szCs w:val="24"/>
          <w:highlight w:val="none"/>
          <w:lang w:eastAsia="zh-CN"/>
        </w:rPr>
      </w:pPr>
      <w:bookmarkStart w:id="53" w:name="_Toc18178"/>
      <w:bookmarkStart w:id="54" w:name="_Toc65848093"/>
      <w:bookmarkStart w:id="55" w:name="_Toc30199"/>
      <w:r>
        <w:rPr>
          <w:rFonts w:hint="default" w:ascii="Times New Roman" w:hAnsi="Times New Roman" w:eastAsia="宋体" w:cs="Times New Roman"/>
          <w:color w:val="auto"/>
          <w:sz w:val="24"/>
          <w:szCs w:val="24"/>
          <w:highlight w:val="none"/>
        </w:rPr>
        <w:t>5.1凡有意参加投标者，请于2025年</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日至2025年</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时00分(北京时间，下同)，登录中国有色集团采购招标电子商务平台（http://ecp.cnmc.com.cn/）（以下简称平台）下载电子招标文件。（网站首页下载中心有供应商使用手册，请自行下载学习使用平台）</w:t>
      </w:r>
      <w:r>
        <w:rPr>
          <w:rFonts w:hint="default" w:ascii="Times New Roman" w:hAnsi="Times New Roman" w:eastAsia="宋体" w:cs="Times New Roman"/>
          <w:color w:val="auto"/>
          <w:sz w:val="24"/>
          <w:szCs w:val="24"/>
          <w:highlight w:val="none"/>
          <w:lang w:eastAsia="zh-CN"/>
        </w:rPr>
        <w:t>。</w:t>
      </w:r>
    </w:p>
    <w:p>
      <w:pPr>
        <w:pStyle w:val="13"/>
        <w:spacing w:line="360" w:lineRule="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5.2 招标文件不收取费用。</w:t>
      </w:r>
    </w:p>
    <w:p>
      <w:pPr>
        <w:spacing w:line="360" w:lineRule="auto"/>
        <w:ind w:firstLine="482"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lang w:eastAsia="zh-CN"/>
        </w:rPr>
        <w:t>本项目的保证金、</w:t>
      </w:r>
      <w:r>
        <w:rPr>
          <w:rFonts w:hint="default" w:ascii="Times New Roman" w:hAnsi="Times New Roman" w:eastAsia="宋体" w:cs="Times New Roman"/>
          <w:b/>
          <w:bCs/>
          <w:color w:val="auto"/>
          <w:sz w:val="24"/>
          <w:szCs w:val="24"/>
          <w:highlight w:val="none"/>
          <w:lang w:val="en-US" w:eastAsia="zh-CN"/>
        </w:rPr>
        <w:t>中标服务</w:t>
      </w:r>
      <w:r>
        <w:rPr>
          <w:rFonts w:hint="default" w:ascii="Times New Roman" w:hAnsi="Times New Roman" w:eastAsia="宋体" w:cs="Times New Roman"/>
          <w:b/>
          <w:bCs/>
          <w:color w:val="auto"/>
          <w:sz w:val="24"/>
          <w:szCs w:val="24"/>
          <w:highlight w:val="none"/>
          <w:lang w:eastAsia="zh-CN"/>
        </w:rPr>
        <w:t>费均汇入以下账号。请投标人在汇款时务必注明所投标项目的招标编号，否则，因款项用途不明导致投标无效等后果由投标人自行承担：</w:t>
      </w:r>
    </w:p>
    <w:p>
      <w:pPr>
        <w:pStyle w:val="13"/>
        <w:spacing w:line="360" w:lineRule="auto"/>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公司全称：中色国际贸易有限公司</w:t>
      </w:r>
    </w:p>
    <w:p>
      <w:pPr>
        <w:pStyle w:val="13"/>
        <w:spacing w:line="360" w:lineRule="auto"/>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开户行：交通银行股份有限公司武汉武昌支行</w:t>
      </w:r>
    </w:p>
    <w:p>
      <w:pPr>
        <w:pStyle w:val="13"/>
        <w:spacing w:line="360" w:lineRule="auto"/>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联行号：3015 2100 8000</w:t>
      </w:r>
    </w:p>
    <w:p>
      <w:pPr>
        <w:pStyle w:val="13"/>
        <w:spacing w:line="360" w:lineRule="auto"/>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银行账号：0012 0110 1030 026</w:t>
      </w:r>
    </w:p>
    <w:p>
      <w:pPr>
        <w:pStyle w:val="5"/>
        <w:spacing w:line="360" w:lineRule="auto"/>
        <w:rPr>
          <w:rFonts w:hint="default" w:ascii="Times New Roman" w:hAnsi="Times New Roman" w:eastAsia="宋体" w:cs="Times New Roman"/>
          <w:color w:val="auto"/>
          <w:sz w:val="24"/>
          <w:szCs w:val="24"/>
          <w:highlight w:val="none"/>
        </w:rPr>
      </w:pPr>
      <w:bookmarkStart w:id="56" w:name="_Toc122"/>
      <w:bookmarkStart w:id="57" w:name="_Toc29153"/>
      <w:bookmarkStart w:id="58" w:name="_Toc2673"/>
      <w:bookmarkStart w:id="59" w:name="_Toc11599"/>
      <w:bookmarkStart w:id="60" w:name="_Toc24253"/>
      <w:r>
        <w:rPr>
          <w:rFonts w:hint="default" w:ascii="Times New Roman" w:hAnsi="Times New Roman" w:eastAsia="宋体" w:cs="Times New Roman"/>
          <w:color w:val="auto"/>
          <w:sz w:val="24"/>
          <w:szCs w:val="24"/>
          <w:highlight w:val="none"/>
        </w:rPr>
        <w:t>6.投标文件的递交</w:t>
      </w:r>
      <w:bookmarkEnd w:id="53"/>
      <w:bookmarkEnd w:id="54"/>
      <w:bookmarkEnd w:id="55"/>
      <w:bookmarkEnd w:id="56"/>
      <w:bookmarkEnd w:id="57"/>
      <w:bookmarkEnd w:id="58"/>
      <w:bookmarkEnd w:id="59"/>
      <w:bookmarkEnd w:id="60"/>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投标文件递交的截止时间（投标截止时间，下同）为2025年</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日9时</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0分，投标人应在截止时间前通过中国有色集团采购招标电子商务平台递交电子投标文件。</w:t>
      </w:r>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逾期送达的投标文件，招标人将予以拒收。</w:t>
      </w:r>
      <w:bookmarkStart w:id="61" w:name="_Toc20108"/>
      <w:bookmarkStart w:id="62" w:name="_Toc16025"/>
      <w:bookmarkStart w:id="63" w:name="_Toc65848094"/>
      <w:bookmarkStart w:id="64" w:name="_Toc4761"/>
      <w:bookmarkStart w:id="65" w:name="_Toc19397"/>
    </w:p>
    <w:p>
      <w:pPr>
        <w:pStyle w:val="5"/>
        <w:spacing w:line="360" w:lineRule="auto"/>
        <w:rPr>
          <w:rFonts w:hint="default" w:ascii="Times New Roman" w:hAnsi="Times New Roman" w:eastAsia="宋体" w:cs="Times New Roman"/>
          <w:color w:val="auto"/>
          <w:sz w:val="24"/>
          <w:szCs w:val="24"/>
          <w:highlight w:val="none"/>
        </w:rPr>
      </w:pPr>
      <w:bookmarkStart w:id="66" w:name="_Toc2716"/>
      <w:bookmarkStart w:id="67" w:name="_Toc6671"/>
      <w:bookmarkStart w:id="68" w:name="_Toc26691"/>
      <w:r>
        <w:rPr>
          <w:rFonts w:hint="default" w:ascii="Times New Roman" w:hAnsi="Times New Roman" w:eastAsia="宋体" w:cs="Times New Roman"/>
          <w:color w:val="auto"/>
          <w:sz w:val="24"/>
          <w:szCs w:val="24"/>
          <w:highlight w:val="none"/>
        </w:rPr>
        <w:t>7.开标时间、地点</w:t>
      </w:r>
      <w:bookmarkEnd w:id="61"/>
      <w:bookmarkEnd w:id="62"/>
      <w:bookmarkEnd w:id="63"/>
      <w:bookmarkEnd w:id="64"/>
      <w:bookmarkEnd w:id="65"/>
      <w:bookmarkEnd w:id="66"/>
      <w:bookmarkEnd w:id="67"/>
      <w:bookmarkEnd w:id="68"/>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7.1开标时间：2025年</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日9时</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0分</w:t>
      </w:r>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7.2开标地点：平台线上开标</w:t>
      </w:r>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投标人不用到现场，但仍需在线参加开标过程。在开标时间前，招标人会开启远程开标大厅，投标人须登录投标管家（登录中国有色集团采购招标电子商务平台（http://ecp.cnmc.com.cn/），页面右方下载中心下载投标管家）点击“在线签到”。开标时间则截止签到，招标人开启远程解密，投标人在投标管家中点击“一键解密”解密标书，系统开始唱标。</w:t>
      </w:r>
    </w:p>
    <w:p>
      <w:pPr>
        <w:pStyle w:val="5"/>
        <w:spacing w:line="360" w:lineRule="auto"/>
        <w:rPr>
          <w:rFonts w:hint="default" w:ascii="Times New Roman" w:hAnsi="Times New Roman" w:eastAsia="宋体" w:cs="Times New Roman"/>
          <w:color w:val="auto"/>
          <w:sz w:val="24"/>
          <w:szCs w:val="24"/>
          <w:highlight w:val="none"/>
        </w:rPr>
      </w:pPr>
      <w:bookmarkStart w:id="69" w:name="_Toc21002"/>
      <w:bookmarkStart w:id="70" w:name="_Toc20384"/>
      <w:bookmarkStart w:id="71" w:name="_Toc32132"/>
      <w:bookmarkStart w:id="72" w:name="_Toc65848095"/>
      <w:bookmarkStart w:id="73" w:name="_Toc19373"/>
      <w:bookmarkStart w:id="74" w:name="_Toc5148"/>
      <w:bookmarkStart w:id="75" w:name="_Toc6729"/>
      <w:bookmarkStart w:id="76" w:name="_Toc2293"/>
      <w:r>
        <w:rPr>
          <w:rFonts w:hint="default" w:ascii="Times New Roman" w:hAnsi="Times New Roman" w:eastAsia="宋体" w:cs="Times New Roman"/>
          <w:color w:val="auto"/>
          <w:sz w:val="24"/>
          <w:szCs w:val="24"/>
          <w:highlight w:val="none"/>
        </w:rPr>
        <w:t>8.发布公告的媒介</w:t>
      </w:r>
      <w:bookmarkEnd w:id="69"/>
      <w:bookmarkEnd w:id="70"/>
      <w:bookmarkEnd w:id="71"/>
      <w:bookmarkEnd w:id="72"/>
      <w:bookmarkEnd w:id="73"/>
      <w:bookmarkEnd w:id="74"/>
      <w:bookmarkEnd w:id="75"/>
      <w:bookmarkEnd w:id="76"/>
    </w:p>
    <w:p>
      <w:pPr>
        <w:pStyle w:val="13"/>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本次招标公告同时在中国有色集团采购招标电子商务平台（http://ecp.cnmc.com.cn/）及中国招投标公共服务平台（http://www.cebpubservice.com/）上发布。</w:t>
      </w:r>
    </w:p>
    <w:p>
      <w:pPr>
        <w:pStyle w:val="5"/>
        <w:spacing w:line="360" w:lineRule="auto"/>
        <w:rPr>
          <w:rFonts w:hint="default" w:ascii="Times New Roman" w:hAnsi="Times New Roman" w:eastAsia="宋体" w:cs="Times New Roman"/>
          <w:color w:val="auto"/>
          <w:sz w:val="24"/>
          <w:szCs w:val="24"/>
          <w:highlight w:val="none"/>
        </w:rPr>
      </w:pPr>
      <w:bookmarkStart w:id="77" w:name="_Toc27951"/>
      <w:bookmarkStart w:id="78" w:name="_Toc29761"/>
      <w:bookmarkStart w:id="79" w:name="_Toc6830"/>
      <w:bookmarkStart w:id="80" w:name="_Toc4436"/>
      <w:bookmarkStart w:id="81" w:name="_Toc3701"/>
      <w:bookmarkStart w:id="82" w:name="_Toc65848096"/>
      <w:bookmarkStart w:id="83" w:name="_Toc13291"/>
      <w:bookmarkStart w:id="84" w:name="_Toc14205"/>
      <w:r>
        <w:rPr>
          <w:rFonts w:hint="default" w:ascii="Times New Roman" w:hAnsi="Times New Roman" w:eastAsia="宋体" w:cs="Times New Roman"/>
          <w:color w:val="auto"/>
          <w:sz w:val="24"/>
          <w:szCs w:val="24"/>
          <w:highlight w:val="none"/>
        </w:rPr>
        <w:t>9</w:t>
      </w:r>
      <w:bookmarkStart w:id="85" w:name="_Hlk69307067"/>
      <w:r>
        <w:rPr>
          <w:rFonts w:hint="default" w:ascii="Times New Roman" w:hAnsi="Times New Roman" w:eastAsia="宋体" w:cs="Times New Roman"/>
          <w:color w:val="auto"/>
          <w:sz w:val="24"/>
          <w:szCs w:val="24"/>
          <w:highlight w:val="none"/>
        </w:rPr>
        <w:t>.联系方式</w:t>
      </w:r>
      <w:bookmarkEnd w:id="77"/>
      <w:bookmarkEnd w:id="78"/>
      <w:bookmarkEnd w:id="79"/>
      <w:bookmarkEnd w:id="80"/>
      <w:bookmarkEnd w:id="81"/>
      <w:bookmarkEnd w:id="82"/>
      <w:bookmarkEnd w:id="83"/>
      <w:bookmarkEnd w:id="84"/>
    </w:p>
    <w:bookmarkEnd w:id="85"/>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招标人：中色国际贸易有限公司</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    址：北京市朝阳区安定路10号中国有色大厦北楼</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邮    编：100029</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采购联系人：</w:t>
      </w:r>
      <w:r>
        <w:rPr>
          <w:rFonts w:hint="default" w:ascii="Times New Roman" w:hAnsi="Times New Roman" w:eastAsia="宋体" w:cs="Times New Roman"/>
          <w:color w:val="auto"/>
          <w:sz w:val="24"/>
          <w:szCs w:val="24"/>
          <w:highlight w:val="none"/>
          <w:lang w:eastAsia="zh-CN"/>
        </w:rPr>
        <w:t>王鹏</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电    话：</w:t>
      </w:r>
      <w:r>
        <w:rPr>
          <w:rFonts w:hint="default" w:ascii="Times New Roman" w:hAnsi="Times New Roman" w:eastAsia="宋体" w:cs="Times New Roman"/>
          <w:color w:val="auto"/>
          <w:sz w:val="24"/>
          <w:szCs w:val="24"/>
          <w:highlight w:val="none"/>
          <w:lang w:eastAsia="zh-CN"/>
        </w:rPr>
        <w:t>010-84426285</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邮    箱：licheng@cnit.cnmc.com.cn</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招标联系人：赵迪</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电    话：010-84427183</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邮    箱：zhaodi@cnit.cnmc.com.cn</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行政监督部门：中色国际贸易有限公司运营管理部</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电话：010-84424801</w:t>
      </w:r>
    </w:p>
    <w:p>
      <w:pPr>
        <w:pStyle w:val="13"/>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平台运营方客服（平台使用技术问题解答）：4000809508</w:t>
      </w:r>
    </w:p>
    <w:p>
      <w:pPr>
        <w:spacing w:line="360" w:lineRule="auto"/>
        <w:rPr>
          <w:rFonts w:hint="default" w:ascii="Times New Roman" w:hAnsi="Times New Roman" w:eastAsia="宋体" w:cs="Times New Roman"/>
          <w:color w:val="auto"/>
          <w:sz w:val="24"/>
          <w:szCs w:val="24"/>
          <w:highlight w:val="none"/>
          <w:lang w:val="en-US" w:eastAsia="zh-CN" w:bidi="ar-SA"/>
        </w:rPr>
      </w:pPr>
    </w:p>
    <w:p>
      <w:pPr>
        <w:pStyle w:val="29"/>
        <w:spacing w:line="360" w:lineRule="auto"/>
        <w:jc w:val="both"/>
        <w:rPr>
          <w:rFonts w:hint="default" w:ascii="Times New Roman" w:hAnsi="Times New Roman" w:eastAsia="宋体" w:cs="Times New Roman"/>
          <w:color w:val="auto"/>
          <w:sz w:val="24"/>
          <w:szCs w:val="24"/>
          <w:highlight w:val="none"/>
          <w:lang w:val="en-US" w:eastAsia="zh-CN" w:bidi="ar-SA"/>
        </w:rPr>
      </w:pPr>
    </w:p>
    <w:bookmarkEnd w:id="43"/>
    <w:bookmarkEnd w:id="44"/>
    <w:p>
      <w:pPr>
        <w:pStyle w:val="29"/>
        <w:spacing w:line="360" w:lineRule="auto"/>
        <w:jc w:val="both"/>
        <w:rPr>
          <w:rFonts w:hint="default" w:ascii="Times New Roman" w:hAnsi="Times New Roman" w:eastAsia="宋体" w:cs="Times New Roman"/>
          <w:color w:val="auto"/>
          <w:sz w:val="24"/>
          <w:szCs w:val="24"/>
          <w:highlight w:val="none"/>
          <w:lang w:val="en-US" w:eastAsia="zh-CN" w:bidi="ar-SA"/>
        </w:rPr>
      </w:pPr>
    </w:p>
    <w:p>
      <w:pPr>
        <w:pStyle w:val="29"/>
        <w:spacing w:line="360" w:lineRule="auto"/>
        <w:ind w:left="0" w:leftChars="0" w:firstLine="5280" w:firstLineChars="2200"/>
        <w:jc w:val="center"/>
        <w:rPr>
          <w:rFonts w:hint="default" w:ascii="Times New Roman" w:hAnsi="Times New Roman" w:eastAsia="宋体" w:cs="Times New Roman"/>
          <w:bCs w:val="0"/>
          <w:color w:val="auto"/>
          <w:sz w:val="24"/>
          <w:szCs w:val="24"/>
          <w:highlight w:val="none"/>
          <w:lang w:val="en-US" w:eastAsia="zh-CN" w:bidi="ar-SA"/>
        </w:rPr>
      </w:pPr>
      <w:r>
        <w:rPr>
          <w:rFonts w:hint="default" w:ascii="Times New Roman" w:hAnsi="Times New Roman" w:eastAsia="宋体" w:cs="Times New Roman"/>
          <w:bCs w:val="0"/>
          <w:color w:val="auto"/>
          <w:sz w:val="24"/>
          <w:szCs w:val="24"/>
          <w:highlight w:val="none"/>
          <w:lang w:val="en-US" w:eastAsia="zh-CN" w:bidi="ar-SA"/>
        </w:rPr>
        <w:t>招标人：中色国际贸易有限公司</w:t>
      </w:r>
    </w:p>
    <w:bookmarkEnd w:id="18"/>
    <w:p>
      <w:pPr>
        <w:pStyle w:val="29"/>
        <w:spacing w:line="360" w:lineRule="auto"/>
        <w:ind w:left="0" w:leftChars="0" w:firstLine="5280" w:firstLineChars="2200"/>
        <w:jc w:val="center"/>
        <w:rPr>
          <w:rFonts w:hint="eastAsia" w:ascii="宋体" w:hAnsi="宋体" w:eastAsia="宋体" w:cs="宋体"/>
          <w:color w:val="auto"/>
          <w:sz w:val="24"/>
          <w:szCs w:val="24"/>
          <w:highlight w:val="none"/>
          <w:lang w:eastAsia="zh-CN"/>
        </w:rPr>
      </w:pPr>
      <w:bookmarkStart w:id="86" w:name="_Toc29184"/>
      <w:r>
        <w:rPr>
          <w:rFonts w:hint="default" w:ascii="Times New Roman" w:hAnsi="Times New Roman" w:eastAsia="宋体" w:cs="Times New Roman"/>
          <w:color w:val="auto"/>
          <w:sz w:val="24"/>
          <w:szCs w:val="24"/>
          <w:highlight w:val="none"/>
        </w:rPr>
        <w:t>2025年</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日</w:t>
      </w:r>
      <w:bookmarkEnd w:id="86"/>
      <w:bookmarkStart w:id="87" w:name="_GoBack"/>
      <w:bookmarkEnd w:id="87"/>
    </w:p>
    <w:sectPr>
      <w:headerReference r:id="rId3" w:type="default"/>
      <w:footerReference r:id="rId4" w:type="default"/>
      <w:pgSz w:w="12240" w:h="15840"/>
      <w:pgMar w:top="1502" w:right="1582" w:bottom="1123" w:left="1701" w:header="0" w:footer="918"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仿宋体">
    <w:altName w:val="仿宋"/>
    <w:panose1 w:val="00000000000000000000"/>
    <w:charset w:val="86"/>
    <w:family w:val="auto"/>
    <w:pitch w:val="default"/>
    <w:sig w:usb0="00000000" w:usb1="00000000" w:usb2="00000010" w:usb3="00000000" w:csb0="00040000" w:csb1="00000000"/>
  </w:font>
  <w:font w:name="Helvetica">
    <w:altName w:val="Arial"/>
    <w:panose1 w:val="00000000000000000000"/>
    <w:charset w:val="00"/>
    <w:family w:val="swiss"/>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方正宋黑简体">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24"/>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2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left"/>
      <w:rPr>
        <w:rFonts w:ascii="微软雅黑" w:hAnsi="微软雅黑" w:eastAsia="微软雅黑"/>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C"/>
    <w:multiLevelType w:val="multilevel"/>
    <w:tmpl w:val="0000001C"/>
    <w:lvl w:ilvl="0" w:tentative="0">
      <w:start w:val="1"/>
      <w:numFmt w:val="decimal"/>
      <w:suff w:val="nothing"/>
      <w:lvlText w:val="（%1）"/>
      <w:lvlJc w:val="left"/>
      <w:pPr>
        <w:ind w:left="840"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pStyle w:val="50"/>
      <w:lvlText w:val="%4."/>
      <w:lvlJc w:val="left"/>
      <w:pPr>
        <w:ind w:left="1680" w:hanging="420"/>
      </w:pPr>
    </w:lvl>
    <w:lvl w:ilvl="4" w:tentative="0">
      <w:start w:val="1"/>
      <w:numFmt w:val="lowerLetter"/>
      <w:lvlText w:val="%5)"/>
      <w:lvlJc w:val="left"/>
      <w:pPr>
        <w:ind w:left="2100" w:hanging="420"/>
      </w:pPr>
    </w:lvl>
    <w:lvl w:ilvl="5" w:tentative="0">
      <w:start w:val="1"/>
      <w:numFmt w:val="lowerRoman"/>
      <w:pStyle w:val="47"/>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9688124"/>
    <w:multiLevelType w:val="multilevel"/>
    <w:tmpl w:val="59688124"/>
    <w:lvl w:ilvl="0" w:tentative="0">
      <w:start w:val="1"/>
      <w:numFmt w:val="bullet"/>
      <w:lvlText w:val=""/>
      <w:lvlJc w:val="left"/>
      <w:pPr>
        <w:tabs>
          <w:tab w:val="left" w:pos="1814"/>
        </w:tabs>
        <w:ind w:left="1814" w:hanging="396"/>
      </w:pPr>
      <w:rPr>
        <w:rFonts w:hint="default" w:ascii="Wingdings" w:hAnsi="Wingdings"/>
      </w:rPr>
    </w:lvl>
    <w:lvl w:ilvl="1" w:tentative="0">
      <w:start w:val="1"/>
      <w:numFmt w:val="bullet"/>
      <w:pStyle w:val="39"/>
      <w:lvlText w:val=""/>
      <w:lvlJc w:val="left"/>
      <w:pPr>
        <w:ind w:left="420" w:hanging="420"/>
      </w:pPr>
      <w:rPr>
        <w:rFonts w:hint="default" w:ascii="Wingdings" w:hAnsi="Wingdings"/>
      </w:rPr>
    </w:lvl>
    <w:lvl w:ilvl="2" w:tentative="0">
      <w:start w:val="1"/>
      <w:numFmt w:val="bullet"/>
      <w:lvlText w:val=""/>
      <w:lvlJc w:val="left"/>
      <w:pPr>
        <w:ind w:left="2678" w:hanging="420"/>
      </w:pPr>
      <w:rPr>
        <w:rFonts w:hint="default" w:ascii="Wingdings" w:hAnsi="Wingdings"/>
      </w:rPr>
    </w:lvl>
    <w:lvl w:ilvl="3" w:tentative="0">
      <w:start w:val="1"/>
      <w:numFmt w:val="bullet"/>
      <w:lvlText w:val=""/>
      <w:lvlJc w:val="left"/>
      <w:pPr>
        <w:ind w:left="3098" w:hanging="420"/>
      </w:pPr>
      <w:rPr>
        <w:rFonts w:hint="default" w:ascii="Wingdings" w:hAnsi="Wingdings"/>
      </w:rPr>
    </w:lvl>
    <w:lvl w:ilvl="4" w:tentative="0">
      <w:start w:val="1"/>
      <w:numFmt w:val="bullet"/>
      <w:lvlText w:val=""/>
      <w:lvlJc w:val="left"/>
      <w:pPr>
        <w:ind w:left="3518" w:hanging="420"/>
      </w:pPr>
      <w:rPr>
        <w:rFonts w:hint="default" w:ascii="Wingdings" w:hAnsi="Wingdings"/>
      </w:rPr>
    </w:lvl>
    <w:lvl w:ilvl="5" w:tentative="0">
      <w:start w:val="1"/>
      <w:numFmt w:val="bullet"/>
      <w:lvlText w:val=""/>
      <w:lvlJc w:val="left"/>
      <w:pPr>
        <w:ind w:left="3938" w:hanging="420"/>
      </w:pPr>
      <w:rPr>
        <w:rFonts w:hint="default" w:ascii="Wingdings" w:hAnsi="Wingdings"/>
      </w:rPr>
    </w:lvl>
    <w:lvl w:ilvl="6" w:tentative="0">
      <w:start w:val="1"/>
      <w:numFmt w:val="bullet"/>
      <w:lvlText w:val=""/>
      <w:lvlJc w:val="left"/>
      <w:pPr>
        <w:ind w:left="4358" w:hanging="420"/>
      </w:pPr>
      <w:rPr>
        <w:rFonts w:hint="default" w:ascii="Wingdings" w:hAnsi="Wingdings"/>
      </w:rPr>
    </w:lvl>
    <w:lvl w:ilvl="7" w:tentative="0">
      <w:start w:val="1"/>
      <w:numFmt w:val="bullet"/>
      <w:lvlText w:val=""/>
      <w:lvlJc w:val="left"/>
      <w:pPr>
        <w:ind w:left="4778" w:hanging="420"/>
      </w:pPr>
      <w:rPr>
        <w:rFonts w:hint="default" w:ascii="Wingdings" w:hAnsi="Wingdings"/>
      </w:rPr>
    </w:lvl>
    <w:lvl w:ilvl="8" w:tentative="0">
      <w:start w:val="1"/>
      <w:numFmt w:val="bullet"/>
      <w:lvlText w:val=""/>
      <w:lvlJc w:val="left"/>
      <w:pPr>
        <w:ind w:left="5198"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lZmY0NDQxMTM4YjlmZDhhYTJlMTAxMTI4YmYwZWUifQ=="/>
  </w:docVars>
  <w:rsids>
    <w:rsidRoot w:val="00A506FB"/>
    <w:rsid w:val="00004EC6"/>
    <w:rsid w:val="000145ED"/>
    <w:rsid w:val="000325A1"/>
    <w:rsid w:val="000D5D74"/>
    <w:rsid w:val="00122D79"/>
    <w:rsid w:val="00133B60"/>
    <w:rsid w:val="00160C14"/>
    <w:rsid w:val="001A1281"/>
    <w:rsid w:val="001A79ED"/>
    <w:rsid w:val="00233E6B"/>
    <w:rsid w:val="002360E9"/>
    <w:rsid w:val="002510D4"/>
    <w:rsid w:val="00260FD8"/>
    <w:rsid w:val="002633B7"/>
    <w:rsid w:val="00270A26"/>
    <w:rsid w:val="00291542"/>
    <w:rsid w:val="0029381F"/>
    <w:rsid w:val="002E6D3D"/>
    <w:rsid w:val="002F2F64"/>
    <w:rsid w:val="002F4628"/>
    <w:rsid w:val="002F4989"/>
    <w:rsid w:val="00334D15"/>
    <w:rsid w:val="0033624C"/>
    <w:rsid w:val="003428F5"/>
    <w:rsid w:val="003447F3"/>
    <w:rsid w:val="003E1610"/>
    <w:rsid w:val="003E2FED"/>
    <w:rsid w:val="00424740"/>
    <w:rsid w:val="00440F1B"/>
    <w:rsid w:val="00471E43"/>
    <w:rsid w:val="00473661"/>
    <w:rsid w:val="004C3DDE"/>
    <w:rsid w:val="005B3A15"/>
    <w:rsid w:val="00660FDD"/>
    <w:rsid w:val="006C3315"/>
    <w:rsid w:val="006F4A89"/>
    <w:rsid w:val="00723A79"/>
    <w:rsid w:val="00757EBD"/>
    <w:rsid w:val="0076187E"/>
    <w:rsid w:val="008359D5"/>
    <w:rsid w:val="008732C3"/>
    <w:rsid w:val="008A7D09"/>
    <w:rsid w:val="008B6BA1"/>
    <w:rsid w:val="008F30A7"/>
    <w:rsid w:val="009108E5"/>
    <w:rsid w:val="0092331C"/>
    <w:rsid w:val="009241CC"/>
    <w:rsid w:val="00960189"/>
    <w:rsid w:val="00977C89"/>
    <w:rsid w:val="00A11E8A"/>
    <w:rsid w:val="00A26708"/>
    <w:rsid w:val="00A506FB"/>
    <w:rsid w:val="00A55C35"/>
    <w:rsid w:val="00AA2015"/>
    <w:rsid w:val="00AC1F35"/>
    <w:rsid w:val="00AC26E6"/>
    <w:rsid w:val="00B03818"/>
    <w:rsid w:val="00B050AB"/>
    <w:rsid w:val="00B34B2A"/>
    <w:rsid w:val="00B34C73"/>
    <w:rsid w:val="00B449ED"/>
    <w:rsid w:val="00B57010"/>
    <w:rsid w:val="00B83B6F"/>
    <w:rsid w:val="00C112BE"/>
    <w:rsid w:val="00C167F7"/>
    <w:rsid w:val="00C2165E"/>
    <w:rsid w:val="00C3622E"/>
    <w:rsid w:val="00C4728F"/>
    <w:rsid w:val="00CA1930"/>
    <w:rsid w:val="00CC0D68"/>
    <w:rsid w:val="00CD5BE9"/>
    <w:rsid w:val="00D10253"/>
    <w:rsid w:val="00D50B69"/>
    <w:rsid w:val="00D5377D"/>
    <w:rsid w:val="00D56E78"/>
    <w:rsid w:val="00D636E2"/>
    <w:rsid w:val="00D7072F"/>
    <w:rsid w:val="00D81987"/>
    <w:rsid w:val="00DB4020"/>
    <w:rsid w:val="00DD183D"/>
    <w:rsid w:val="00DD30BC"/>
    <w:rsid w:val="00DF13C1"/>
    <w:rsid w:val="00DF6679"/>
    <w:rsid w:val="00E119E9"/>
    <w:rsid w:val="00E867CA"/>
    <w:rsid w:val="00E97596"/>
    <w:rsid w:val="00ED0BC5"/>
    <w:rsid w:val="00EF01CD"/>
    <w:rsid w:val="00F06575"/>
    <w:rsid w:val="00F55B55"/>
    <w:rsid w:val="00F83AAD"/>
    <w:rsid w:val="00FA595D"/>
    <w:rsid w:val="00FD7358"/>
    <w:rsid w:val="00FE6764"/>
    <w:rsid w:val="00FF50A7"/>
    <w:rsid w:val="01625CD8"/>
    <w:rsid w:val="016474B8"/>
    <w:rsid w:val="01A675F8"/>
    <w:rsid w:val="02423CE9"/>
    <w:rsid w:val="02930ECE"/>
    <w:rsid w:val="02D664C5"/>
    <w:rsid w:val="03473B66"/>
    <w:rsid w:val="034A7C63"/>
    <w:rsid w:val="03F5157E"/>
    <w:rsid w:val="04984A53"/>
    <w:rsid w:val="049B0368"/>
    <w:rsid w:val="04D208EF"/>
    <w:rsid w:val="04F47176"/>
    <w:rsid w:val="06A578C4"/>
    <w:rsid w:val="06EA27A4"/>
    <w:rsid w:val="07423951"/>
    <w:rsid w:val="075A3B77"/>
    <w:rsid w:val="07972076"/>
    <w:rsid w:val="079C4160"/>
    <w:rsid w:val="07B2545C"/>
    <w:rsid w:val="08036AA2"/>
    <w:rsid w:val="086D649B"/>
    <w:rsid w:val="08A50ECE"/>
    <w:rsid w:val="08A85BBC"/>
    <w:rsid w:val="08BF41E8"/>
    <w:rsid w:val="08F4015F"/>
    <w:rsid w:val="09812D28"/>
    <w:rsid w:val="09853A65"/>
    <w:rsid w:val="09E74191"/>
    <w:rsid w:val="0A13327B"/>
    <w:rsid w:val="0A3C1FD3"/>
    <w:rsid w:val="0A545CF0"/>
    <w:rsid w:val="0A642647"/>
    <w:rsid w:val="0A7F5B38"/>
    <w:rsid w:val="0A916E99"/>
    <w:rsid w:val="0AB42D4F"/>
    <w:rsid w:val="0ADC0F0E"/>
    <w:rsid w:val="0AE97C78"/>
    <w:rsid w:val="0B0547BB"/>
    <w:rsid w:val="0B802457"/>
    <w:rsid w:val="0B8259B4"/>
    <w:rsid w:val="0B9165F4"/>
    <w:rsid w:val="0BAD5EF4"/>
    <w:rsid w:val="0BB579BF"/>
    <w:rsid w:val="0BEA4423"/>
    <w:rsid w:val="0C0F4F2D"/>
    <w:rsid w:val="0DA06864"/>
    <w:rsid w:val="0DB463E1"/>
    <w:rsid w:val="0E464443"/>
    <w:rsid w:val="0EEE1E2D"/>
    <w:rsid w:val="0F240077"/>
    <w:rsid w:val="10674D96"/>
    <w:rsid w:val="10C77FA2"/>
    <w:rsid w:val="10E27414"/>
    <w:rsid w:val="10EE21AE"/>
    <w:rsid w:val="113D6260"/>
    <w:rsid w:val="11680504"/>
    <w:rsid w:val="11692A8C"/>
    <w:rsid w:val="11B009AC"/>
    <w:rsid w:val="11DA40FB"/>
    <w:rsid w:val="12220C4C"/>
    <w:rsid w:val="122D52DF"/>
    <w:rsid w:val="12FF6B70"/>
    <w:rsid w:val="13A438DD"/>
    <w:rsid w:val="13D306BD"/>
    <w:rsid w:val="13D90438"/>
    <w:rsid w:val="14697CCB"/>
    <w:rsid w:val="148E7315"/>
    <w:rsid w:val="14DB330A"/>
    <w:rsid w:val="150821FA"/>
    <w:rsid w:val="1520325F"/>
    <w:rsid w:val="15204065"/>
    <w:rsid w:val="152D009C"/>
    <w:rsid w:val="15395CC4"/>
    <w:rsid w:val="155A4094"/>
    <w:rsid w:val="157A3B42"/>
    <w:rsid w:val="15A4681A"/>
    <w:rsid w:val="15E51BED"/>
    <w:rsid w:val="15F253C2"/>
    <w:rsid w:val="162C6D67"/>
    <w:rsid w:val="16493C8C"/>
    <w:rsid w:val="167135DF"/>
    <w:rsid w:val="168009DC"/>
    <w:rsid w:val="16842A72"/>
    <w:rsid w:val="16C94A70"/>
    <w:rsid w:val="16F2364E"/>
    <w:rsid w:val="16F729DE"/>
    <w:rsid w:val="1779761C"/>
    <w:rsid w:val="17B26357"/>
    <w:rsid w:val="17B839E7"/>
    <w:rsid w:val="17D33759"/>
    <w:rsid w:val="17DF5C21"/>
    <w:rsid w:val="189C466F"/>
    <w:rsid w:val="196649BB"/>
    <w:rsid w:val="1A037AED"/>
    <w:rsid w:val="1A054984"/>
    <w:rsid w:val="1A1C3021"/>
    <w:rsid w:val="1B1912BF"/>
    <w:rsid w:val="1BF80662"/>
    <w:rsid w:val="1C696525"/>
    <w:rsid w:val="1D421999"/>
    <w:rsid w:val="1D786AC3"/>
    <w:rsid w:val="1D9452DB"/>
    <w:rsid w:val="1E60798E"/>
    <w:rsid w:val="1E984169"/>
    <w:rsid w:val="1F022D6F"/>
    <w:rsid w:val="1FB128DC"/>
    <w:rsid w:val="1FBD797C"/>
    <w:rsid w:val="20457A1E"/>
    <w:rsid w:val="208F0A44"/>
    <w:rsid w:val="20916BB4"/>
    <w:rsid w:val="21266DB7"/>
    <w:rsid w:val="212C1634"/>
    <w:rsid w:val="2139606C"/>
    <w:rsid w:val="2147711F"/>
    <w:rsid w:val="21C8147F"/>
    <w:rsid w:val="2249092C"/>
    <w:rsid w:val="22D34163"/>
    <w:rsid w:val="23105C41"/>
    <w:rsid w:val="23403B02"/>
    <w:rsid w:val="23750A3C"/>
    <w:rsid w:val="23A57AA6"/>
    <w:rsid w:val="23D66548"/>
    <w:rsid w:val="242C2B05"/>
    <w:rsid w:val="243A44CE"/>
    <w:rsid w:val="244A3713"/>
    <w:rsid w:val="24C518D9"/>
    <w:rsid w:val="25467406"/>
    <w:rsid w:val="256272EB"/>
    <w:rsid w:val="25B155C3"/>
    <w:rsid w:val="25FB144C"/>
    <w:rsid w:val="263E437E"/>
    <w:rsid w:val="26437634"/>
    <w:rsid w:val="26502A4A"/>
    <w:rsid w:val="2701610F"/>
    <w:rsid w:val="2703748A"/>
    <w:rsid w:val="27B42A22"/>
    <w:rsid w:val="28712E97"/>
    <w:rsid w:val="288A4A48"/>
    <w:rsid w:val="289F45B4"/>
    <w:rsid w:val="28AF066A"/>
    <w:rsid w:val="28B14F5D"/>
    <w:rsid w:val="28B946B0"/>
    <w:rsid w:val="291B2767"/>
    <w:rsid w:val="297E02B3"/>
    <w:rsid w:val="29927996"/>
    <w:rsid w:val="2A6737C9"/>
    <w:rsid w:val="2A843418"/>
    <w:rsid w:val="2AA44BB1"/>
    <w:rsid w:val="2B0E4E83"/>
    <w:rsid w:val="2B612DB6"/>
    <w:rsid w:val="2B945344"/>
    <w:rsid w:val="2BA91441"/>
    <w:rsid w:val="2C2E0F70"/>
    <w:rsid w:val="2CA16DE5"/>
    <w:rsid w:val="2CC628F6"/>
    <w:rsid w:val="2CE20922"/>
    <w:rsid w:val="2D2C5C7D"/>
    <w:rsid w:val="2D607D2A"/>
    <w:rsid w:val="2D8737EA"/>
    <w:rsid w:val="2DE278C1"/>
    <w:rsid w:val="2E2F6E25"/>
    <w:rsid w:val="2E6A69F9"/>
    <w:rsid w:val="2EA06FD0"/>
    <w:rsid w:val="2EE705F9"/>
    <w:rsid w:val="2EE95D1C"/>
    <w:rsid w:val="2F482F0B"/>
    <w:rsid w:val="2FCB4761"/>
    <w:rsid w:val="303156A3"/>
    <w:rsid w:val="3060610C"/>
    <w:rsid w:val="30BA1F42"/>
    <w:rsid w:val="317A6BF0"/>
    <w:rsid w:val="31EC1118"/>
    <w:rsid w:val="32191089"/>
    <w:rsid w:val="32727FE6"/>
    <w:rsid w:val="32C234FF"/>
    <w:rsid w:val="32F834F6"/>
    <w:rsid w:val="33542C69"/>
    <w:rsid w:val="336C267F"/>
    <w:rsid w:val="33CF1443"/>
    <w:rsid w:val="346E6D73"/>
    <w:rsid w:val="348A0F39"/>
    <w:rsid w:val="34DA5839"/>
    <w:rsid w:val="3574492F"/>
    <w:rsid w:val="35BB43A9"/>
    <w:rsid w:val="35E32E9F"/>
    <w:rsid w:val="36020F58"/>
    <w:rsid w:val="360262D5"/>
    <w:rsid w:val="36BB23D5"/>
    <w:rsid w:val="36E25007"/>
    <w:rsid w:val="37AD00CF"/>
    <w:rsid w:val="38480EAB"/>
    <w:rsid w:val="385C2C07"/>
    <w:rsid w:val="386E763A"/>
    <w:rsid w:val="387038E4"/>
    <w:rsid w:val="38FA3173"/>
    <w:rsid w:val="39153070"/>
    <w:rsid w:val="39360952"/>
    <w:rsid w:val="3A804602"/>
    <w:rsid w:val="3AEF3B20"/>
    <w:rsid w:val="3B366B2B"/>
    <w:rsid w:val="3B3B4A9E"/>
    <w:rsid w:val="3B9704B9"/>
    <w:rsid w:val="3C653C05"/>
    <w:rsid w:val="3CC743ED"/>
    <w:rsid w:val="3D3E4A09"/>
    <w:rsid w:val="3E3B5011"/>
    <w:rsid w:val="3E781684"/>
    <w:rsid w:val="3EC06CC7"/>
    <w:rsid w:val="3F3C3C57"/>
    <w:rsid w:val="3FB10074"/>
    <w:rsid w:val="40BE7D2C"/>
    <w:rsid w:val="4121740F"/>
    <w:rsid w:val="4284269B"/>
    <w:rsid w:val="42936B32"/>
    <w:rsid w:val="42D71BFE"/>
    <w:rsid w:val="4327296F"/>
    <w:rsid w:val="432A169A"/>
    <w:rsid w:val="43893FEF"/>
    <w:rsid w:val="438C569A"/>
    <w:rsid w:val="43BA238C"/>
    <w:rsid w:val="45242DC5"/>
    <w:rsid w:val="453E23E7"/>
    <w:rsid w:val="4561219E"/>
    <w:rsid w:val="46463310"/>
    <w:rsid w:val="46C56CDB"/>
    <w:rsid w:val="470A3CC0"/>
    <w:rsid w:val="478874B7"/>
    <w:rsid w:val="47AA513C"/>
    <w:rsid w:val="48CE507B"/>
    <w:rsid w:val="4906162A"/>
    <w:rsid w:val="49B20CC0"/>
    <w:rsid w:val="49C96151"/>
    <w:rsid w:val="4A1B761F"/>
    <w:rsid w:val="4A485AB7"/>
    <w:rsid w:val="4A5A12F1"/>
    <w:rsid w:val="4AD9300A"/>
    <w:rsid w:val="4AEE3DA2"/>
    <w:rsid w:val="4B1E3C18"/>
    <w:rsid w:val="4B3C6FF4"/>
    <w:rsid w:val="4B522019"/>
    <w:rsid w:val="4BE64BEB"/>
    <w:rsid w:val="4C49469D"/>
    <w:rsid w:val="4C8F1649"/>
    <w:rsid w:val="4C9813E0"/>
    <w:rsid w:val="4D2712F8"/>
    <w:rsid w:val="4D3D70F0"/>
    <w:rsid w:val="4DCF2010"/>
    <w:rsid w:val="4E2D594D"/>
    <w:rsid w:val="4F3B5208"/>
    <w:rsid w:val="4FAE49EB"/>
    <w:rsid w:val="4FD6191A"/>
    <w:rsid w:val="4FD814ED"/>
    <w:rsid w:val="50483092"/>
    <w:rsid w:val="50D434C3"/>
    <w:rsid w:val="51011866"/>
    <w:rsid w:val="5120024B"/>
    <w:rsid w:val="51293E9F"/>
    <w:rsid w:val="51647CFC"/>
    <w:rsid w:val="516A369C"/>
    <w:rsid w:val="51A76C82"/>
    <w:rsid w:val="51FE2B55"/>
    <w:rsid w:val="524C36E7"/>
    <w:rsid w:val="52AA2A9A"/>
    <w:rsid w:val="52C93D2B"/>
    <w:rsid w:val="530E497A"/>
    <w:rsid w:val="5346487E"/>
    <w:rsid w:val="537D26E6"/>
    <w:rsid w:val="539B5435"/>
    <w:rsid w:val="541A0105"/>
    <w:rsid w:val="54365B8F"/>
    <w:rsid w:val="546B2FC4"/>
    <w:rsid w:val="54AC4673"/>
    <w:rsid w:val="54B267AA"/>
    <w:rsid w:val="54E91C57"/>
    <w:rsid w:val="54F84980"/>
    <w:rsid w:val="54FD6AC0"/>
    <w:rsid w:val="551D7CAE"/>
    <w:rsid w:val="55891D3E"/>
    <w:rsid w:val="561A1FB8"/>
    <w:rsid w:val="562A3E96"/>
    <w:rsid w:val="565C41B5"/>
    <w:rsid w:val="56E657ED"/>
    <w:rsid w:val="57080B5B"/>
    <w:rsid w:val="57B17254"/>
    <w:rsid w:val="58070DC9"/>
    <w:rsid w:val="58306B15"/>
    <w:rsid w:val="598D2B1F"/>
    <w:rsid w:val="59A32352"/>
    <w:rsid w:val="5A2E510E"/>
    <w:rsid w:val="5A6A1FDF"/>
    <w:rsid w:val="5AAD1365"/>
    <w:rsid w:val="5B7CEC15"/>
    <w:rsid w:val="5B7E3036"/>
    <w:rsid w:val="5BB41961"/>
    <w:rsid w:val="5C5E0FEF"/>
    <w:rsid w:val="5CDA66F2"/>
    <w:rsid w:val="5CF703B4"/>
    <w:rsid w:val="5D255C92"/>
    <w:rsid w:val="5D3A7087"/>
    <w:rsid w:val="5DD62BF4"/>
    <w:rsid w:val="5E39417E"/>
    <w:rsid w:val="5E88144D"/>
    <w:rsid w:val="60021E6F"/>
    <w:rsid w:val="603A4E8E"/>
    <w:rsid w:val="60707E27"/>
    <w:rsid w:val="60D005B2"/>
    <w:rsid w:val="60D52688"/>
    <w:rsid w:val="618069C7"/>
    <w:rsid w:val="61EB3C8E"/>
    <w:rsid w:val="621B049A"/>
    <w:rsid w:val="62A90DF1"/>
    <w:rsid w:val="63574AFD"/>
    <w:rsid w:val="637D65B6"/>
    <w:rsid w:val="63852C97"/>
    <w:rsid w:val="638712C3"/>
    <w:rsid w:val="63F61EF9"/>
    <w:rsid w:val="63FD2158"/>
    <w:rsid w:val="642B7482"/>
    <w:rsid w:val="65E90EBC"/>
    <w:rsid w:val="661710FC"/>
    <w:rsid w:val="668056FD"/>
    <w:rsid w:val="66916581"/>
    <w:rsid w:val="66CA6D86"/>
    <w:rsid w:val="671340A0"/>
    <w:rsid w:val="67340F68"/>
    <w:rsid w:val="67AA39F1"/>
    <w:rsid w:val="686E4594"/>
    <w:rsid w:val="68750770"/>
    <w:rsid w:val="68937CDA"/>
    <w:rsid w:val="68957197"/>
    <w:rsid w:val="689B310E"/>
    <w:rsid w:val="696266A3"/>
    <w:rsid w:val="696A0AAA"/>
    <w:rsid w:val="6ABB2925"/>
    <w:rsid w:val="6ADC2833"/>
    <w:rsid w:val="6B5C19A2"/>
    <w:rsid w:val="6B774D57"/>
    <w:rsid w:val="6BE8711A"/>
    <w:rsid w:val="6BFC52D1"/>
    <w:rsid w:val="6C0B17B9"/>
    <w:rsid w:val="6D255798"/>
    <w:rsid w:val="6D9101EE"/>
    <w:rsid w:val="6E894E20"/>
    <w:rsid w:val="6F48691F"/>
    <w:rsid w:val="7035049F"/>
    <w:rsid w:val="704175D7"/>
    <w:rsid w:val="70DE53F0"/>
    <w:rsid w:val="719B3720"/>
    <w:rsid w:val="72444359"/>
    <w:rsid w:val="727A1AF2"/>
    <w:rsid w:val="72A23433"/>
    <w:rsid w:val="72EE4EED"/>
    <w:rsid w:val="73324F4C"/>
    <w:rsid w:val="738151C9"/>
    <w:rsid w:val="73C626AC"/>
    <w:rsid w:val="74107D6C"/>
    <w:rsid w:val="74591B61"/>
    <w:rsid w:val="74BA3B3B"/>
    <w:rsid w:val="74D811F2"/>
    <w:rsid w:val="74FA18B0"/>
    <w:rsid w:val="757E57AA"/>
    <w:rsid w:val="75865042"/>
    <w:rsid w:val="75D55C15"/>
    <w:rsid w:val="764313D3"/>
    <w:rsid w:val="76680B61"/>
    <w:rsid w:val="770A76B2"/>
    <w:rsid w:val="7713220E"/>
    <w:rsid w:val="771D314B"/>
    <w:rsid w:val="775C6FD2"/>
    <w:rsid w:val="77891491"/>
    <w:rsid w:val="77A05F3B"/>
    <w:rsid w:val="78593339"/>
    <w:rsid w:val="795A3131"/>
    <w:rsid w:val="79822FE7"/>
    <w:rsid w:val="79BC1A7C"/>
    <w:rsid w:val="7A48252C"/>
    <w:rsid w:val="7ADC6193"/>
    <w:rsid w:val="7B1C36F3"/>
    <w:rsid w:val="7B982133"/>
    <w:rsid w:val="7B9F205C"/>
    <w:rsid w:val="7BA85697"/>
    <w:rsid w:val="7BD6083D"/>
    <w:rsid w:val="7CBA5B2B"/>
    <w:rsid w:val="7DD728FA"/>
    <w:rsid w:val="7E021B93"/>
    <w:rsid w:val="7E882EB2"/>
    <w:rsid w:val="7EE13BE1"/>
    <w:rsid w:val="7F523192"/>
    <w:rsid w:val="7F742225"/>
    <w:rsid w:val="7FB05A4A"/>
    <w:rsid w:val="7FF01A59"/>
    <w:rsid w:val="B3EB968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99"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宋体" w:hAnsi="宋体" w:eastAsia="宋体" w:cs="宋体"/>
      <w:sz w:val="22"/>
      <w:szCs w:val="22"/>
      <w:lang w:val="en-US" w:eastAsia="en-US" w:bidi="ar-SA"/>
    </w:rPr>
  </w:style>
  <w:style w:type="paragraph" w:styleId="4">
    <w:name w:val="heading 1"/>
    <w:basedOn w:val="1"/>
    <w:next w:val="1"/>
    <w:qFormat/>
    <w:uiPriority w:val="1"/>
    <w:pPr>
      <w:spacing w:line="590" w:lineRule="exact"/>
      <w:ind w:left="3"/>
      <w:outlineLvl w:val="0"/>
    </w:pPr>
    <w:rPr>
      <w:rFonts w:ascii="Microsoft JhengHei" w:hAnsi="Microsoft JhengHei" w:eastAsia="Microsoft JhengHei" w:cs="Microsoft JhengHei"/>
      <w:b/>
      <w:bCs/>
      <w:sz w:val="44"/>
      <w:szCs w:val="44"/>
    </w:rPr>
  </w:style>
  <w:style w:type="paragraph" w:styleId="5">
    <w:name w:val="heading 2"/>
    <w:basedOn w:val="1"/>
    <w:next w:val="1"/>
    <w:link w:val="71"/>
    <w:qFormat/>
    <w:uiPriority w:val="1"/>
    <w:pPr>
      <w:ind w:firstLine="482"/>
      <w:outlineLvl w:val="1"/>
    </w:pPr>
    <w:rPr>
      <w:b/>
    </w:rPr>
  </w:style>
  <w:style w:type="paragraph" w:styleId="6">
    <w:name w:val="heading 3"/>
    <w:basedOn w:val="1"/>
    <w:next w:val="1"/>
    <w:qFormat/>
    <w:uiPriority w:val="1"/>
    <w:pPr>
      <w:spacing w:line="360" w:lineRule="auto"/>
      <w:ind w:firstLine="560" w:firstLineChars="200"/>
      <w:outlineLvl w:val="2"/>
    </w:pPr>
    <w:rPr>
      <w:rFonts w:ascii="Times New Roman" w:hAnsi="Times New Roman" w:cs="Times New Roman"/>
      <w:sz w:val="24"/>
      <w:szCs w:val="24"/>
      <w:lang w:eastAsia="zh-CN"/>
    </w:rPr>
  </w:style>
  <w:style w:type="paragraph" w:styleId="7">
    <w:name w:val="heading 4"/>
    <w:basedOn w:val="1"/>
    <w:next w:val="1"/>
    <w:qFormat/>
    <w:uiPriority w:val="1"/>
    <w:pPr>
      <w:ind w:left="522" w:right="21"/>
      <w:outlineLvl w:val="3"/>
    </w:pPr>
    <w:rPr>
      <w:rFonts w:ascii="Times New Roman" w:hAnsi="Times New Roman" w:eastAsia="Times New Roman" w:cs="Times New Roman"/>
      <w:b/>
      <w:bCs/>
      <w:sz w:val="21"/>
      <w:szCs w:val="21"/>
    </w:rPr>
  </w:style>
  <w:style w:type="character" w:default="1" w:styleId="32">
    <w:name w:val="Default Paragraph Font"/>
    <w:unhideWhenUsed/>
    <w:qFormat/>
    <w:uiPriority w:val="1"/>
  </w:style>
  <w:style w:type="table" w:default="1" w:styleId="36">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next w:val="3"/>
    <w:qFormat/>
    <w:uiPriority w:val="0"/>
    <w:pPr>
      <w:adjustRightInd w:val="0"/>
      <w:spacing w:line="410" w:lineRule="atLeast"/>
      <w:ind w:firstLine="420"/>
      <w:textAlignment w:val="baseline"/>
    </w:pPr>
  </w:style>
  <w:style w:type="paragraph" w:customStyle="1" w:styleId="3">
    <w:name w:val="Default"/>
    <w:qFormat/>
    <w:uiPriority w:val="99"/>
    <w:pPr>
      <w:widowControl w:val="0"/>
      <w:autoSpaceDE w:val="0"/>
      <w:autoSpaceDN w:val="0"/>
      <w:adjustRightInd w:val="0"/>
    </w:pPr>
    <w:rPr>
      <w:rFonts w:ascii="黑体" w:hAnsi="Calibri" w:eastAsia="黑体" w:cs="黑体"/>
      <w:color w:val="000000"/>
      <w:kern w:val="2"/>
      <w:sz w:val="24"/>
      <w:szCs w:val="24"/>
      <w:lang w:val="en-US" w:eastAsia="zh-CN" w:bidi="ar-SA"/>
    </w:rPr>
  </w:style>
  <w:style w:type="paragraph" w:styleId="8">
    <w:name w:val="List 3"/>
    <w:basedOn w:val="1"/>
    <w:qFormat/>
    <w:uiPriority w:val="99"/>
    <w:pPr>
      <w:ind w:left="100" w:leftChars="400" w:hanging="200" w:hangingChars="200"/>
      <w:jc w:val="both"/>
    </w:pPr>
    <w:rPr>
      <w:rFonts w:ascii="Arial" w:hAnsi="Arial" w:cs="Times New Roman"/>
      <w:sz w:val="20"/>
      <w:szCs w:val="20"/>
      <w:lang w:eastAsia="zh-CN"/>
    </w:rPr>
  </w:style>
  <w:style w:type="paragraph" w:styleId="9">
    <w:name w:val="annotation subject"/>
    <w:basedOn w:val="10"/>
    <w:next w:val="10"/>
    <w:link w:val="56"/>
    <w:qFormat/>
    <w:uiPriority w:val="0"/>
    <w:rPr>
      <w:b/>
      <w:bCs/>
    </w:rPr>
  </w:style>
  <w:style w:type="paragraph" w:styleId="10">
    <w:name w:val="annotation text"/>
    <w:basedOn w:val="1"/>
    <w:link w:val="59"/>
    <w:qFormat/>
    <w:uiPriority w:val="0"/>
  </w:style>
  <w:style w:type="paragraph" w:styleId="11">
    <w:name w:val="toc 7"/>
    <w:basedOn w:val="1"/>
    <w:next w:val="1"/>
    <w:qFormat/>
    <w:uiPriority w:val="39"/>
    <w:pPr>
      <w:ind w:left="2520" w:leftChars="1200"/>
      <w:jc w:val="both"/>
    </w:pPr>
    <w:rPr>
      <w:rFonts w:ascii="Calibri" w:hAnsi="Calibri" w:cs="黑体"/>
      <w:kern w:val="2"/>
      <w:sz w:val="21"/>
      <w:lang w:eastAsia="zh-CN"/>
    </w:rPr>
  </w:style>
  <w:style w:type="paragraph" w:styleId="12">
    <w:name w:val="Body Text First Indent"/>
    <w:basedOn w:val="13"/>
    <w:next w:val="1"/>
    <w:unhideWhenUsed/>
    <w:qFormat/>
    <w:uiPriority w:val="0"/>
    <w:pPr>
      <w:spacing w:after="120" w:line="240" w:lineRule="auto"/>
      <w:ind w:firstLine="420" w:firstLineChars="100"/>
    </w:pPr>
    <w:rPr>
      <w:rFonts w:ascii="Arial" w:hAnsi="Arial"/>
      <w:sz w:val="20"/>
      <w:szCs w:val="20"/>
    </w:rPr>
  </w:style>
  <w:style w:type="paragraph" w:styleId="13">
    <w:name w:val="Body Text"/>
    <w:basedOn w:val="1"/>
    <w:link w:val="58"/>
    <w:qFormat/>
    <w:uiPriority w:val="1"/>
    <w:pPr>
      <w:spacing w:line="360" w:lineRule="auto"/>
      <w:ind w:firstLine="480" w:firstLineChars="200"/>
      <w:jc w:val="both"/>
    </w:pPr>
    <w:rPr>
      <w:rFonts w:ascii="Times New Roman" w:hAnsi="Times New Roman" w:cs="Times New Roman"/>
      <w:sz w:val="24"/>
      <w:szCs w:val="24"/>
      <w:lang w:eastAsia="zh-CN"/>
    </w:rPr>
  </w:style>
  <w:style w:type="paragraph" w:styleId="14">
    <w:name w:val="Body Text Indent"/>
    <w:basedOn w:val="1"/>
    <w:qFormat/>
    <w:uiPriority w:val="0"/>
    <w:pPr>
      <w:spacing w:line="440" w:lineRule="exact"/>
      <w:ind w:firstLine="555"/>
    </w:pPr>
    <w:rPr>
      <w:rFonts w:ascii="黑体" w:eastAsia="黑体"/>
      <w:sz w:val="28"/>
      <w:szCs w:val="24"/>
    </w:rPr>
  </w:style>
  <w:style w:type="paragraph" w:styleId="15">
    <w:name w:val="toc 5"/>
    <w:basedOn w:val="1"/>
    <w:next w:val="1"/>
    <w:qFormat/>
    <w:uiPriority w:val="39"/>
    <w:pPr>
      <w:ind w:left="1680" w:leftChars="800"/>
      <w:jc w:val="both"/>
    </w:pPr>
    <w:rPr>
      <w:rFonts w:ascii="Calibri" w:hAnsi="Calibri" w:cs="黑体"/>
      <w:kern w:val="2"/>
      <w:sz w:val="21"/>
      <w:lang w:eastAsia="zh-CN"/>
    </w:rPr>
  </w:style>
  <w:style w:type="paragraph" w:styleId="16">
    <w:name w:val="toc 3"/>
    <w:basedOn w:val="1"/>
    <w:next w:val="1"/>
    <w:qFormat/>
    <w:uiPriority w:val="39"/>
    <w:pPr>
      <w:spacing w:line="272" w:lineRule="exact"/>
      <w:ind w:left="940"/>
    </w:pPr>
    <w:rPr>
      <w:sz w:val="21"/>
      <w:szCs w:val="21"/>
    </w:rPr>
  </w:style>
  <w:style w:type="paragraph" w:styleId="17">
    <w:name w:val="Plain Text"/>
    <w:basedOn w:val="1"/>
    <w:qFormat/>
    <w:uiPriority w:val="0"/>
    <w:rPr>
      <w:rFonts w:hAnsi="Courier New"/>
    </w:rPr>
  </w:style>
  <w:style w:type="paragraph" w:styleId="18">
    <w:name w:val="toc 8"/>
    <w:basedOn w:val="1"/>
    <w:next w:val="1"/>
    <w:qFormat/>
    <w:uiPriority w:val="39"/>
    <w:pPr>
      <w:ind w:left="2940" w:leftChars="1400"/>
      <w:jc w:val="both"/>
    </w:pPr>
    <w:rPr>
      <w:rFonts w:ascii="Calibri" w:hAnsi="Calibri" w:cs="黑体"/>
      <w:kern w:val="2"/>
      <w:sz w:val="21"/>
      <w:lang w:eastAsia="zh-CN"/>
    </w:rPr>
  </w:style>
  <w:style w:type="paragraph" w:styleId="19">
    <w:name w:val="Body Text Indent 2"/>
    <w:basedOn w:val="1"/>
    <w:qFormat/>
    <w:uiPriority w:val="0"/>
    <w:pPr>
      <w:spacing w:after="120" w:line="480" w:lineRule="auto"/>
      <w:ind w:left="420" w:leftChars="200"/>
      <w:jc w:val="both"/>
    </w:pPr>
    <w:rPr>
      <w:rFonts w:ascii="Arial" w:hAnsi="Arial" w:cs="Times New Roman"/>
      <w:sz w:val="20"/>
      <w:szCs w:val="20"/>
      <w:lang w:eastAsia="zh-CN"/>
    </w:rPr>
  </w:style>
  <w:style w:type="paragraph" w:styleId="20">
    <w:name w:val="Balloon Text"/>
    <w:basedOn w:val="1"/>
    <w:link w:val="68"/>
    <w:qFormat/>
    <w:uiPriority w:val="0"/>
    <w:rPr>
      <w:sz w:val="18"/>
      <w:szCs w:val="18"/>
    </w:rPr>
  </w:style>
  <w:style w:type="paragraph" w:styleId="21">
    <w:name w:val="footer"/>
    <w:basedOn w:val="1"/>
    <w:link w:val="62"/>
    <w:qFormat/>
    <w:uiPriority w:val="0"/>
    <w:pPr>
      <w:tabs>
        <w:tab w:val="center" w:pos="4153"/>
        <w:tab w:val="right" w:pos="8306"/>
      </w:tabs>
      <w:snapToGrid w:val="0"/>
    </w:pPr>
    <w:rPr>
      <w:sz w:val="18"/>
      <w:szCs w:val="18"/>
    </w:rPr>
  </w:style>
  <w:style w:type="paragraph" w:styleId="22">
    <w:name w:val="Body Text First Indent 2"/>
    <w:basedOn w:val="14"/>
    <w:qFormat/>
    <w:uiPriority w:val="0"/>
    <w:pPr>
      <w:spacing w:line="360" w:lineRule="auto"/>
      <w:ind w:left="0" w:leftChars="0" w:firstLine="420"/>
    </w:pPr>
    <w:rPr>
      <w:rFonts w:ascii="宋体" w:hAnsi="宋体"/>
      <w:sz w:val="24"/>
      <w:szCs w:val="24"/>
    </w:rPr>
  </w:style>
  <w:style w:type="paragraph" w:styleId="23">
    <w:name w:val="header"/>
    <w:basedOn w:val="1"/>
    <w:link w:val="64"/>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spacing w:line="272" w:lineRule="exact"/>
      <w:ind w:left="100"/>
    </w:pPr>
    <w:rPr>
      <w:sz w:val="21"/>
      <w:szCs w:val="21"/>
    </w:rPr>
  </w:style>
  <w:style w:type="paragraph" w:styleId="25">
    <w:name w:val="toc 4"/>
    <w:basedOn w:val="1"/>
    <w:next w:val="1"/>
    <w:qFormat/>
    <w:uiPriority w:val="39"/>
    <w:pPr>
      <w:ind w:left="1260" w:leftChars="600"/>
      <w:jc w:val="both"/>
    </w:pPr>
    <w:rPr>
      <w:rFonts w:ascii="Calibri" w:hAnsi="Calibri" w:cs="黑体"/>
      <w:kern w:val="2"/>
      <w:sz w:val="21"/>
      <w:lang w:eastAsia="zh-CN"/>
    </w:rPr>
  </w:style>
  <w:style w:type="paragraph" w:styleId="26">
    <w:name w:val="toc 6"/>
    <w:basedOn w:val="1"/>
    <w:next w:val="1"/>
    <w:qFormat/>
    <w:uiPriority w:val="39"/>
    <w:pPr>
      <w:ind w:left="2100" w:leftChars="1000"/>
      <w:jc w:val="both"/>
    </w:pPr>
    <w:rPr>
      <w:rFonts w:ascii="Calibri" w:hAnsi="Calibri" w:cs="黑体"/>
      <w:kern w:val="2"/>
      <w:sz w:val="21"/>
      <w:lang w:eastAsia="zh-CN"/>
    </w:rPr>
  </w:style>
  <w:style w:type="paragraph" w:styleId="27">
    <w:name w:val="toc 2"/>
    <w:basedOn w:val="1"/>
    <w:next w:val="1"/>
    <w:qFormat/>
    <w:uiPriority w:val="39"/>
    <w:pPr>
      <w:spacing w:line="272" w:lineRule="exact"/>
      <w:ind w:left="520"/>
    </w:pPr>
    <w:rPr>
      <w:sz w:val="21"/>
      <w:szCs w:val="21"/>
    </w:rPr>
  </w:style>
  <w:style w:type="paragraph" w:styleId="28">
    <w:name w:val="toc 9"/>
    <w:basedOn w:val="1"/>
    <w:next w:val="1"/>
    <w:qFormat/>
    <w:uiPriority w:val="39"/>
    <w:pPr>
      <w:ind w:left="3360" w:leftChars="1600"/>
      <w:jc w:val="both"/>
    </w:pPr>
    <w:rPr>
      <w:rFonts w:ascii="Calibri" w:hAnsi="Calibri" w:cs="黑体"/>
      <w:kern w:val="2"/>
      <w:sz w:val="21"/>
      <w:lang w:eastAsia="zh-CN"/>
    </w:rPr>
  </w:style>
  <w:style w:type="paragraph" w:styleId="29">
    <w:name w:val="Body Text 2"/>
    <w:basedOn w:val="1"/>
    <w:next w:val="13"/>
    <w:qFormat/>
    <w:uiPriority w:val="0"/>
    <w:pPr>
      <w:jc w:val="center"/>
    </w:pPr>
    <w:rPr>
      <w:rFonts w:eastAsia="黑体" w:cs="Times New Roman"/>
      <w:bCs/>
      <w:sz w:val="72"/>
      <w:szCs w:val="24"/>
    </w:rPr>
  </w:style>
  <w:style w:type="paragraph" w:styleId="30">
    <w:name w:val="Normal (Web)"/>
    <w:basedOn w:val="1"/>
    <w:qFormat/>
    <w:uiPriority w:val="0"/>
    <w:pPr>
      <w:spacing w:beforeAutospacing="1" w:afterAutospacing="1"/>
    </w:pPr>
    <w:rPr>
      <w:rFonts w:hint="eastAsia" w:cs="Times New Roman"/>
      <w:spacing w:val="-6"/>
      <w:sz w:val="24"/>
      <w:szCs w:val="24"/>
      <w:lang w:eastAsia="zh-CN"/>
    </w:rPr>
  </w:style>
  <w:style w:type="paragraph" w:styleId="31">
    <w:name w:val="Title"/>
    <w:basedOn w:val="1"/>
    <w:next w:val="1"/>
    <w:qFormat/>
    <w:uiPriority w:val="0"/>
    <w:pPr>
      <w:spacing w:before="240" w:after="60" w:line="360" w:lineRule="auto"/>
      <w:jc w:val="left"/>
      <w:outlineLvl w:val="0"/>
    </w:pPr>
    <w:rPr>
      <w:rFonts w:ascii="Cambria" w:hAnsi="Cambria"/>
      <w:b/>
      <w:bCs/>
      <w:szCs w:val="32"/>
    </w:rPr>
  </w:style>
  <w:style w:type="character" w:styleId="33">
    <w:name w:val="page number"/>
    <w:basedOn w:val="32"/>
    <w:qFormat/>
    <w:uiPriority w:val="0"/>
  </w:style>
  <w:style w:type="character" w:styleId="34">
    <w:name w:val="Hyperlink"/>
    <w:qFormat/>
    <w:uiPriority w:val="99"/>
    <w:rPr>
      <w:color w:val="0000FF"/>
      <w:u w:val="single"/>
    </w:rPr>
  </w:style>
  <w:style w:type="character" w:styleId="35">
    <w:name w:val="annotation reference"/>
    <w:qFormat/>
    <w:uiPriority w:val="0"/>
    <w:rPr>
      <w:sz w:val="21"/>
      <w:szCs w:val="21"/>
    </w:r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8">
    <w:name w:val="普通(网站)1"/>
    <w:basedOn w:val="1"/>
    <w:qFormat/>
    <w:uiPriority w:val="0"/>
    <w:pPr>
      <w:spacing w:line="360" w:lineRule="auto"/>
    </w:pPr>
    <w:rPr>
      <w:sz w:val="24"/>
    </w:rPr>
  </w:style>
  <w:style w:type="paragraph" w:customStyle="1" w:styleId="39">
    <w:name w:val="引言二级条标题"/>
    <w:basedOn w:val="40"/>
    <w:next w:val="41"/>
    <w:semiHidden/>
    <w:qFormat/>
    <w:uiPriority w:val="0"/>
    <w:pPr>
      <w:numPr>
        <w:ilvl w:val="1"/>
        <w:numId w:val="1"/>
      </w:numPr>
      <w:tabs>
        <w:tab w:val="left" w:pos="360"/>
        <w:tab w:val="left" w:pos="1814"/>
      </w:tabs>
    </w:pPr>
    <w:rPr>
      <w:b w:val="0"/>
    </w:rPr>
  </w:style>
  <w:style w:type="paragraph" w:customStyle="1" w:styleId="40">
    <w:name w:val="引言一级条标题"/>
    <w:basedOn w:val="1"/>
    <w:next w:val="41"/>
    <w:semiHidden/>
    <w:qFormat/>
    <w:uiPriority w:val="0"/>
    <w:pPr>
      <w:widowControl/>
      <w:ind w:left="946"/>
    </w:pPr>
    <w:rPr>
      <w:rFonts w:ascii="Times New Roman" w:hAnsi="Times New Roman" w:eastAsia="黑体"/>
      <w:b/>
    </w:rPr>
  </w:style>
  <w:style w:type="paragraph" w:customStyle="1" w:styleId="41">
    <w:name w:val="段"/>
    <w:semiHidden/>
    <w:qFormat/>
    <w:uiPriority w:val="99"/>
    <w:pPr>
      <w:tabs>
        <w:tab w:val="left" w:pos="360"/>
        <w:tab w:val="left" w:pos="425"/>
      </w:tabs>
      <w:autoSpaceDE w:val="0"/>
      <w:autoSpaceDN w:val="0"/>
      <w:spacing w:after="160" w:line="278" w:lineRule="auto"/>
      <w:ind w:left="360" w:firstLine="200" w:firstLineChars="200"/>
      <w:jc w:val="both"/>
    </w:pPr>
    <w:rPr>
      <w:rFonts w:ascii="宋体" w:hAnsi="Times New Roman" w:eastAsia="宋体" w:cs="Times New Roman"/>
      <w:lang w:val="en-US" w:eastAsia="zh-CN" w:bidi="ar-SA"/>
    </w:rPr>
  </w:style>
  <w:style w:type="paragraph" w:customStyle="1" w:styleId="42">
    <w:name w:val="Revision"/>
    <w:semiHidden/>
    <w:qFormat/>
    <w:uiPriority w:val="99"/>
    <w:rPr>
      <w:rFonts w:ascii="宋体" w:hAnsi="宋体" w:eastAsia="宋体" w:cs="宋体"/>
      <w:sz w:val="22"/>
      <w:szCs w:val="22"/>
      <w:lang w:val="en-US" w:eastAsia="en-US" w:bidi="ar-SA"/>
    </w:rPr>
  </w:style>
  <w:style w:type="paragraph" w:customStyle="1" w:styleId="43">
    <w:name w:val="修订1"/>
    <w:semiHidden/>
    <w:qFormat/>
    <w:uiPriority w:val="99"/>
    <w:rPr>
      <w:rFonts w:ascii="宋体" w:hAnsi="宋体" w:eastAsia="宋体" w:cs="宋体"/>
      <w:sz w:val="22"/>
      <w:szCs w:val="22"/>
      <w:lang w:val="en-US" w:eastAsia="en-US" w:bidi="ar-SA"/>
    </w:rPr>
  </w:style>
  <w:style w:type="paragraph" w:customStyle="1" w:styleId="44">
    <w:name w:val="TOC 标题1"/>
    <w:basedOn w:val="4"/>
    <w:next w:val="1"/>
    <w:qFormat/>
    <w:uiPriority w:val="39"/>
    <w:pPr>
      <w:keepNext/>
      <w:keepLines/>
      <w:widowControl/>
      <w:spacing w:before="240" w:line="259" w:lineRule="auto"/>
      <w:ind w:left="0"/>
      <w:outlineLvl w:val="9"/>
    </w:pPr>
    <w:rPr>
      <w:rFonts w:ascii="Cambria" w:hAnsi="Cambria" w:eastAsia="宋体" w:cs="黑体"/>
      <w:b w:val="0"/>
      <w:bCs w:val="0"/>
      <w:color w:val="365F90"/>
      <w:sz w:val="32"/>
      <w:szCs w:val="32"/>
      <w:lang w:eastAsia="zh-CN"/>
    </w:rPr>
  </w:style>
  <w:style w:type="paragraph" w:customStyle="1" w:styleId="45">
    <w:name w:val="Table Paragraph"/>
    <w:basedOn w:val="1"/>
    <w:qFormat/>
    <w:uiPriority w:val="1"/>
  </w:style>
  <w:style w:type="paragraph" w:customStyle="1" w:styleId="46">
    <w:name w:val="列出段落11"/>
    <w:basedOn w:val="1"/>
    <w:link w:val="73"/>
    <w:qFormat/>
    <w:uiPriority w:val="0"/>
    <w:pPr>
      <w:ind w:firstLine="420" w:firstLineChars="200"/>
      <w:jc w:val="both"/>
    </w:pPr>
    <w:rPr>
      <w:rFonts w:ascii="Calibri" w:hAnsi="Calibri" w:cs="Times New Roman"/>
      <w:kern w:val="2"/>
      <w:sz w:val="21"/>
      <w:lang w:eastAsia="zh-CN"/>
    </w:rPr>
  </w:style>
  <w:style w:type="paragraph" w:customStyle="1" w:styleId="47">
    <w:name w:val="样式6"/>
    <w:qFormat/>
    <w:uiPriority w:val="0"/>
    <w:pPr>
      <w:widowControl w:val="0"/>
      <w:numPr>
        <w:ilvl w:val="5"/>
        <w:numId w:val="2"/>
      </w:numPr>
      <w:tabs>
        <w:tab w:val="left" w:pos="1843"/>
        <w:tab w:val="left" w:pos="1985"/>
        <w:tab w:val="left" w:pos="2160"/>
      </w:tabs>
      <w:spacing w:line="360" w:lineRule="auto"/>
      <w:ind w:left="1982" w:leftChars="810" w:hanging="281" w:hangingChars="134"/>
      <w:jc w:val="both"/>
    </w:pPr>
    <w:rPr>
      <w:rFonts w:ascii="Arial" w:hAnsi="Arial" w:eastAsia="宋体" w:cs="Times New Roman"/>
      <w:color w:val="000000"/>
      <w:szCs w:val="24"/>
      <w:lang w:val="en-US" w:eastAsia="zh-CN" w:bidi="ar-SA"/>
    </w:rPr>
  </w:style>
  <w:style w:type="paragraph" w:customStyle="1" w:styleId="48">
    <w:name w:val="列表段落1"/>
    <w:basedOn w:val="1"/>
    <w:qFormat/>
    <w:uiPriority w:val="34"/>
    <w:pPr>
      <w:ind w:firstLine="420" w:firstLineChars="200"/>
    </w:pPr>
  </w:style>
  <w:style w:type="paragraph" w:customStyle="1" w:styleId="49">
    <w:name w:val="列出段落1"/>
    <w:basedOn w:val="1"/>
    <w:qFormat/>
    <w:uiPriority w:val="1"/>
  </w:style>
  <w:style w:type="paragraph" w:customStyle="1" w:styleId="50">
    <w:name w:val="二级条标题"/>
    <w:basedOn w:val="1"/>
    <w:next w:val="1"/>
    <w:qFormat/>
    <w:uiPriority w:val="0"/>
    <w:pPr>
      <w:widowControl/>
      <w:numPr>
        <w:ilvl w:val="3"/>
        <w:numId w:val="2"/>
      </w:numPr>
      <w:tabs>
        <w:tab w:val="left" w:pos="1800"/>
      </w:tabs>
      <w:ind w:left="1800"/>
      <w:outlineLvl w:val="3"/>
    </w:pPr>
    <w:rPr>
      <w:rFonts w:ascii="Times New Roman" w:hAnsi="Times New Roman" w:eastAsia="黑体" w:cs="Times New Roman"/>
      <w:sz w:val="21"/>
      <w:szCs w:val="20"/>
      <w:lang w:eastAsia="zh-CN"/>
    </w:rPr>
  </w:style>
  <w:style w:type="paragraph" w:customStyle="1" w:styleId="51">
    <w:name w:val="纯文本1"/>
    <w:basedOn w:val="1"/>
    <w:link w:val="57"/>
    <w:qFormat/>
    <w:uiPriority w:val="0"/>
    <w:pPr>
      <w:jc w:val="both"/>
    </w:pPr>
    <w:rPr>
      <w:rFonts w:hAnsi="Courier New" w:cs="Times New Roman"/>
      <w:sz w:val="20"/>
      <w:szCs w:val="20"/>
      <w:lang w:eastAsia="zh-CN"/>
    </w:rPr>
  </w:style>
  <w:style w:type="paragraph" w:customStyle="1" w:styleId="52">
    <w:name w:val="gb"/>
    <w:basedOn w:val="1"/>
    <w:qFormat/>
    <w:uiPriority w:val="0"/>
    <w:pPr>
      <w:widowControl/>
      <w:tabs>
        <w:tab w:val="left" w:pos="227"/>
      </w:tabs>
      <w:overflowPunct w:val="0"/>
      <w:adjustRightInd w:val="0"/>
      <w:spacing w:before="120" w:after="120"/>
      <w:textAlignment w:val="baseline"/>
    </w:pPr>
    <w:rPr>
      <w:rFonts w:ascii="Arial" w:hAnsi="Arial" w:eastAsia="仿宋体"/>
      <w:sz w:val="24"/>
    </w:rPr>
  </w:style>
  <w:style w:type="paragraph" w:customStyle="1" w:styleId="53">
    <w:name w:val="List Paragraph_172d205e-a2eb-4426-8fc5-5fa8525c6957"/>
    <w:basedOn w:val="1"/>
    <w:qFormat/>
    <w:uiPriority w:val="99"/>
    <w:pPr>
      <w:ind w:firstLine="420" w:firstLineChars="200"/>
    </w:pPr>
  </w:style>
  <w:style w:type="paragraph" w:customStyle="1" w:styleId="54">
    <w:name w:val="正文 New"/>
    <w:qFormat/>
    <w:uiPriority w:val="0"/>
    <w:pPr>
      <w:widowControl w:val="0"/>
      <w:jc w:val="both"/>
    </w:pPr>
    <w:rPr>
      <w:rFonts w:ascii="Times New Roman" w:hAnsi="Times New Roman" w:eastAsia="宋体" w:cs="Times New Roman"/>
      <w:kern w:val="2"/>
      <w:sz w:val="24"/>
      <w:lang w:val="en-US" w:eastAsia="zh-CN" w:bidi="ar-SA"/>
    </w:rPr>
  </w:style>
  <w:style w:type="character" w:customStyle="1" w:styleId="55">
    <w:name w:val="font41"/>
    <w:qFormat/>
    <w:uiPriority w:val="0"/>
    <w:rPr>
      <w:rFonts w:hint="eastAsia" w:ascii="宋体" w:hAnsi="宋体" w:eastAsia="宋体" w:cs="宋体"/>
      <w:color w:val="000000"/>
      <w:sz w:val="22"/>
      <w:szCs w:val="22"/>
      <w:u w:val="none"/>
    </w:rPr>
  </w:style>
  <w:style w:type="character" w:customStyle="1" w:styleId="56">
    <w:name w:val="批注主题 字符"/>
    <w:link w:val="9"/>
    <w:qFormat/>
    <w:uiPriority w:val="0"/>
    <w:rPr>
      <w:rFonts w:ascii="宋体" w:hAnsi="宋体" w:cs="宋体"/>
      <w:b/>
      <w:bCs/>
      <w:sz w:val="22"/>
      <w:szCs w:val="22"/>
      <w:lang w:eastAsia="en-US"/>
    </w:rPr>
  </w:style>
  <w:style w:type="character" w:customStyle="1" w:styleId="57">
    <w:name w:val="纯文本 Char"/>
    <w:link w:val="51"/>
    <w:qFormat/>
    <w:uiPriority w:val="0"/>
    <w:rPr>
      <w:rFonts w:ascii="宋体" w:hAnsi="Courier New"/>
    </w:rPr>
  </w:style>
  <w:style w:type="character" w:customStyle="1" w:styleId="58">
    <w:name w:val="正文文本 字符"/>
    <w:link w:val="13"/>
    <w:qFormat/>
    <w:uiPriority w:val="1"/>
    <w:rPr>
      <w:sz w:val="24"/>
      <w:szCs w:val="24"/>
    </w:rPr>
  </w:style>
  <w:style w:type="character" w:customStyle="1" w:styleId="59">
    <w:name w:val="批注文字 字符"/>
    <w:link w:val="10"/>
    <w:qFormat/>
    <w:uiPriority w:val="0"/>
    <w:rPr>
      <w:rFonts w:ascii="宋体" w:hAnsi="宋体" w:cs="宋体"/>
      <w:sz w:val="22"/>
      <w:szCs w:val="22"/>
      <w:lang w:eastAsia="en-US"/>
    </w:rPr>
  </w:style>
  <w:style w:type="character" w:customStyle="1" w:styleId="60">
    <w:name w:val="font01"/>
    <w:basedOn w:val="32"/>
    <w:qFormat/>
    <w:uiPriority w:val="0"/>
    <w:rPr>
      <w:rFonts w:ascii="Helvetica" w:hAnsi="Helvetica" w:eastAsia="Helvetica" w:cs="Helvetica"/>
      <w:color w:val="333333"/>
      <w:sz w:val="18"/>
      <w:szCs w:val="18"/>
      <w:u w:val="none"/>
    </w:rPr>
  </w:style>
  <w:style w:type="character" w:customStyle="1" w:styleId="61">
    <w:name w:val="font11"/>
    <w:qFormat/>
    <w:uiPriority w:val="0"/>
    <w:rPr>
      <w:rFonts w:hint="eastAsia" w:ascii="仿宋" w:hAnsi="仿宋" w:eastAsia="仿宋" w:cs="仿宋"/>
      <w:color w:val="000000"/>
      <w:sz w:val="24"/>
      <w:szCs w:val="24"/>
      <w:u w:val="none"/>
    </w:rPr>
  </w:style>
  <w:style w:type="character" w:customStyle="1" w:styleId="62">
    <w:name w:val="页脚 字符"/>
    <w:link w:val="21"/>
    <w:qFormat/>
    <w:uiPriority w:val="0"/>
    <w:rPr>
      <w:rFonts w:ascii="宋体" w:hAnsi="宋体" w:cs="宋体"/>
      <w:sz w:val="18"/>
      <w:szCs w:val="18"/>
      <w:lang w:eastAsia="en-US"/>
    </w:rPr>
  </w:style>
  <w:style w:type="character" w:customStyle="1" w:styleId="63">
    <w:name w:val="font121"/>
    <w:qFormat/>
    <w:uiPriority w:val="0"/>
    <w:rPr>
      <w:rFonts w:hint="default" w:ascii="仿宋_GB2312" w:eastAsia="仿宋_GB2312" w:cs="仿宋_GB2312"/>
      <w:color w:val="000000"/>
      <w:sz w:val="20"/>
      <w:szCs w:val="20"/>
      <w:u w:val="none"/>
    </w:rPr>
  </w:style>
  <w:style w:type="character" w:customStyle="1" w:styleId="64">
    <w:name w:val="页眉 字符"/>
    <w:link w:val="23"/>
    <w:qFormat/>
    <w:uiPriority w:val="0"/>
    <w:rPr>
      <w:rFonts w:ascii="宋体" w:hAnsi="宋体" w:cs="宋体"/>
      <w:sz w:val="18"/>
      <w:szCs w:val="18"/>
      <w:lang w:eastAsia="en-US"/>
    </w:rPr>
  </w:style>
  <w:style w:type="character" w:customStyle="1" w:styleId="65">
    <w:name w:val="font21"/>
    <w:qFormat/>
    <w:uiPriority w:val="0"/>
    <w:rPr>
      <w:rFonts w:hint="eastAsia" w:ascii="宋体" w:hAnsi="宋体" w:eastAsia="宋体" w:cs="宋体"/>
      <w:color w:val="000000"/>
      <w:sz w:val="22"/>
      <w:szCs w:val="22"/>
      <w:u w:val="none"/>
    </w:rPr>
  </w:style>
  <w:style w:type="character" w:customStyle="1" w:styleId="66">
    <w:name w:val="列出段落 Char"/>
    <w:qFormat/>
    <w:uiPriority w:val="0"/>
    <w:rPr>
      <w:rFonts w:ascii="Calibri" w:hAnsi="Calibri" w:eastAsia="Calibri" w:cs="Calibri"/>
      <w:color w:val="000000"/>
      <w:sz w:val="22"/>
    </w:rPr>
  </w:style>
  <w:style w:type="character" w:customStyle="1" w:styleId="67">
    <w:name w:val="未处理的提及1"/>
    <w:qFormat/>
    <w:uiPriority w:val="99"/>
    <w:rPr>
      <w:color w:val="605E5C"/>
      <w:shd w:val="clear" w:color="auto" w:fill="E1DFDD"/>
    </w:rPr>
  </w:style>
  <w:style w:type="character" w:customStyle="1" w:styleId="68">
    <w:name w:val="批注框文本 字符"/>
    <w:link w:val="20"/>
    <w:qFormat/>
    <w:uiPriority w:val="0"/>
    <w:rPr>
      <w:rFonts w:ascii="宋体" w:hAnsi="宋体" w:cs="宋体"/>
      <w:sz w:val="18"/>
      <w:szCs w:val="18"/>
      <w:lang w:eastAsia="en-US"/>
    </w:rPr>
  </w:style>
  <w:style w:type="character" w:customStyle="1" w:styleId="69">
    <w:name w:val="font81"/>
    <w:qFormat/>
    <w:uiPriority w:val="0"/>
    <w:rPr>
      <w:rFonts w:hint="default" w:ascii="仿宋_GB2312" w:eastAsia="仿宋_GB2312" w:cs="仿宋_GB2312"/>
      <w:color w:val="000000"/>
      <w:sz w:val="20"/>
      <w:szCs w:val="20"/>
      <w:u w:val="none"/>
      <w:vertAlign w:val="superscript"/>
    </w:rPr>
  </w:style>
  <w:style w:type="character" w:customStyle="1" w:styleId="70">
    <w:name w:val="font71"/>
    <w:basedOn w:val="32"/>
    <w:qFormat/>
    <w:uiPriority w:val="0"/>
    <w:rPr>
      <w:rFonts w:hint="eastAsia" w:ascii="宋体" w:hAnsi="宋体" w:eastAsia="宋体" w:cs="宋体"/>
      <w:color w:val="000000"/>
      <w:sz w:val="22"/>
      <w:szCs w:val="22"/>
      <w:u w:val="none"/>
    </w:rPr>
  </w:style>
  <w:style w:type="character" w:customStyle="1" w:styleId="71">
    <w:name w:val="标题 2 字符"/>
    <w:link w:val="5"/>
    <w:qFormat/>
    <w:uiPriority w:val="1"/>
    <w:rPr>
      <w:b/>
    </w:rPr>
  </w:style>
  <w:style w:type="character" w:customStyle="1" w:styleId="72">
    <w:name w:val="font51"/>
    <w:qFormat/>
    <w:uiPriority w:val="0"/>
    <w:rPr>
      <w:rFonts w:hint="eastAsia" w:ascii="宋体" w:hAnsi="宋体" w:eastAsia="宋体" w:cs="宋体"/>
      <w:color w:val="000000"/>
      <w:sz w:val="22"/>
      <w:szCs w:val="22"/>
      <w:u w:val="none"/>
    </w:rPr>
  </w:style>
  <w:style w:type="character" w:customStyle="1" w:styleId="73">
    <w:name w:val="列表段落 字符"/>
    <w:link w:val="46"/>
    <w:qFormat/>
    <w:uiPriority w:val="99"/>
    <w:rPr>
      <w:rFonts w:ascii="Calibri" w:hAnsi="Calibri"/>
      <w:kern w:val="2"/>
      <w:sz w:val="21"/>
      <w:szCs w:val="22"/>
    </w:rPr>
  </w:style>
  <w:style w:type="character" w:customStyle="1" w:styleId="74">
    <w:name w:val="font31"/>
    <w:basedOn w:val="32"/>
    <w:qFormat/>
    <w:uiPriority w:val="0"/>
    <w:rPr>
      <w:rFonts w:hint="eastAsia" w:ascii="宋体" w:hAnsi="宋体" w:eastAsia="宋体" w:cs="宋体"/>
      <w:color w:val="000000"/>
      <w:sz w:val="20"/>
      <w:szCs w:val="20"/>
      <w:u w:val="none"/>
    </w:rPr>
  </w:style>
  <w:style w:type="table" w:customStyle="1" w:styleId="75">
    <w:name w:val="Table Normal"/>
    <w:qFormat/>
    <w:uiPriority w:val="2"/>
    <w:rPr>
      <w:lang w:val="en-US" w:eastAsia="zh-CN" w:bidi="ar-SA"/>
    </w:rPr>
    <w:tblPr>
      <w:tblLayout w:type="fixed"/>
      <w:tblCellMar>
        <w:top w:w="0" w:type="dxa"/>
        <w:left w:w="0" w:type="dxa"/>
        <w:bottom w:w="0" w:type="dxa"/>
        <w:right w:w="0" w:type="dxa"/>
      </w:tblCellMar>
    </w:tblPr>
  </w:style>
  <w:style w:type="table" w:customStyle="1" w:styleId="76">
    <w:name w:val="Table Normal1"/>
    <w:qFormat/>
    <w:uiPriority w:val="2"/>
    <w:pPr>
      <w:widowControl w:val="0"/>
    </w:pPr>
    <w:rPr>
      <w:rFonts w:ascii="Calibri" w:hAnsi="Calibri" w:cs="黑体"/>
      <w:sz w:val="22"/>
      <w:szCs w:val="22"/>
      <w:lang w:val="en-US" w:eastAsia="en-US" w:bidi="ar-SA"/>
    </w:rPr>
    <w:tblPr>
      <w:tblLayout w:type="fixed"/>
      <w:tblCellMar>
        <w:top w:w="0" w:type="dxa"/>
        <w:left w:w="0" w:type="dxa"/>
        <w:bottom w:w="0" w:type="dxa"/>
        <w:right w:w="0" w:type="dxa"/>
      </w:tblCellMar>
    </w:tblPr>
  </w:style>
  <w:style w:type="paragraph" w:customStyle="1" w:styleId="77">
    <w:name w:val="表头"/>
    <w:basedOn w:val="1"/>
    <w:qFormat/>
    <w:uiPriority w:val="0"/>
    <w:pPr>
      <w:widowControl w:val="0"/>
      <w:wordWrap w:val="0"/>
      <w:topLinePunct/>
      <w:spacing w:before="160" w:after="60" w:line="312" w:lineRule="exact"/>
      <w:jc w:val="center"/>
    </w:pPr>
    <w:rPr>
      <w:rFonts w:eastAsia="黑体" w:cs="Times New Roman"/>
      <w:color w:val="auto"/>
      <w:sz w:val="21"/>
      <w:szCs w:val="24"/>
    </w:rPr>
  </w:style>
  <w:style w:type="paragraph" w:customStyle="1" w:styleId="78">
    <w:name w:val="表格序号"/>
    <w:basedOn w:val="79"/>
    <w:qFormat/>
    <w:uiPriority w:val="0"/>
    <w:pPr>
      <w:jc w:val="center"/>
    </w:pPr>
  </w:style>
  <w:style w:type="paragraph" w:customStyle="1" w:styleId="79">
    <w:name w:val="表格正文"/>
    <w:basedOn w:val="1"/>
    <w:qFormat/>
    <w:uiPriority w:val="0"/>
    <w:pPr>
      <w:widowControl w:val="0"/>
      <w:spacing w:after="0" w:line="240" w:lineRule="auto"/>
      <w:jc w:val="both"/>
    </w:pPr>
    <w:rPr>
      <w:rFonts w:eastAsia="黑体" w:cs="Times New Roman"/>
      <w:color w:val="auto"/>
      <w:sz w:val="24"/>
      <w:szCs w:val="20"/>
    </w:rPr>
  </w:style>
  <w:style w:type="paragraph" w:customStyle="1" w:styleId="80">
    <w:name w:val="msolistparagraph"/>
    <w:basedOn w:val="1"/>
    <w:qFormat/>
    <w:uiPriority w:val="0"/>
    <w:pPr>
      <w:ind w:firstLine="420" w:firstLineChars="200"/>
      <w:jc w:val="both"/>
    </w:pPr>
    <w:rPr>
      <w:rFonts w:ascii="Calibri" w:hAnsi="Calibri" w:cs="Times New Roman"/>
      <w:kern w:val="2"/>
      <w:sz w:val="21"/>
      <w:lang w:eastAsia="zh-CN"/>
    </w:rPr>
  </w:style>
  <w:style w:type="paragraph" w:customStyle="1" w:styleId="81">
    <w:name w:val="jl 正文"/>
    <w:basedOn w:val="1"/>
    <w:qFormat/>
    <w:uiPriority w:val="0"/>
    <w:pPr>
      <w:autoSpaceDE w:val="0"/>
      <w:autoSpaceDN w:val="0"/>
      <w:adjustRightInd w:val="0"/>
      <w:ind w:firstLine="200" w:firstLineChars="200"/>
      <w:jc w:val="left"/>
      <w:textAlignment w:val="baseline"/>
    </w:pPr>
    <w:rPr>
      <w:rFonts w:ascii="宋体"/>
      <w:kern w:val="0"/>
      <w:szCs w:val="24"/>
    </w:rPr>
  </w:style>
  <w:style w:type="paragraph" w:customStyle="1" w:styleId="82">
    <w:name w:val="jl 三级"/>
    <w:basedOn w:val="1"/>
    <w:qFormat/>
    <w:uiPriority w:val="0"/>
    <w:pPr>
      <w:autoSpaceDE w:val="0"/>
      <w:autoSpaceDN w:val="0"/>
      <w:adjustRightInd w:val="0"/>
      <w:spacing w:before="120" w:beforeLines="50" w:after="120" w:afterLines="50"/>
      <w:ind w:firstLine="480" w:firstLineChars="200"/>
      <w:jc w:val="left"/>
      <w:textAlignment w:val="baseline"/>
      <w:outlineLvl w:val="2"/>
    </w:pPr>
    <w:rPr>
      <w:rFonts w:ascii="宋体" w:hAnsi="宋体"/>
      <w:b/>
      <w:color w:val="000000"/>
      <w:kern w:val="0"/>
      <w:szCs w:val="24"/>
    </w:rPr>
  </w:style>
  <w:style w:type="paragraph" w:styleId="83">
    <w:name w:val="List Paragraph"/>
    <w:basedOn w:val="1"/>
    <w:qFormat/>
    <w:uiPriority w:val="34"/>
    <w:pPr>
      <w:ind w:firstLine="420" w:firstLineChars="200"/>
    </w:pPr>
  </w:style>
  <w:style w:type="paragraph" w:customStyle="1" w:styleId="84">
    <w:name w:val="标题 21"/>
    <w:basedOn w:val="1"/>
    <w:qFormat/>
    <w:uiPriority w:val="0"/>
    <w:pPr>
      <w:spacing w:line="360" w:lineRule="auto"/>
      <w:outlineLvl w:val="1"/>
    </w:pPr>
    <w:rPr>
      <w:b/>
    </w:rPr>
  </w:style>
  <w:style w:type="table" w:customStyle="1" w:styleId="85">
    <w:name w:val="TableGrid1"/>
    <w:qFormat/>
    <w:uiPriority w:val="0"/>
    <w:tblPr>
      <w:tblLayout w:type="fixed"/>
      <w:tblCellMar>
        <w:top w:w="0" w:type="dxa"/>
        <w:left w:w="0" w:type="dxa"/>
        <w:bottom w:w="0" w:type="dxa"/>
        <w:right w:w="0" w:type="dxa"/>
      </w:tblCellMar>
    </w:tblPr>
  </w:style>
  <w:style w:type="paragraph" w:customStyle="1" w:styleId="86">
    <w:name w:val="DY2"/>
    <w:qFormat/>
    <w:uiPriority w:val="0"/>
    <w:pPr>
      <w:spacing w:line="360" w:lineRule="auto"/>
      <w:outlineLvl w:val="1"/>
    </w:pPr>
    <w:rPr>
      <w:rFonts w:ascii="Times New Roman" w:hAnsi="Times New Roman" w:eastAsia="宋体" w:cs="Times New Roman"/>
      <w:b/>
      <w:kern w:val="2"/>
      <w:sz w:val="28"/>
      <w:szCs w:val="21"/>
      <w:lang w:val="en-US" w:eastAsia="zh-CN" w:bidi="ar-SA"/>
    </w:rPr>
  </w:style>
  <w:style w:type="paragraph" w:customStyle="1" w:styleId="87">
    <w:name w:val="正文文本1"/>
    <w:basedOn w:val="1"/>
    <w:qFormat/>
    <w:uiPriority w:val="0"/>
    <w:pPr>
      <w:spacing w:line="360" w:lineRule="auto"/>
      <w:ind w:firstLine="480" w:firstLineChars="200"/>
      <w:jc w:val="both"/>
    </w:pPr>
    <w:rPr>
      <w:rFonts w:ascii="Times New Roman" w:hAnsi="Times New Roman"/>
      <w:sz w:val="24"/>
      <w:szCs w:val="24"/>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89</Pages>
  <Words>2162</Words>
  <Characters>2627</Characters>
  <Lines>387</Lines>
  <Paragraphs>109</Paragraphs>
  <TotalTime>24</TotalTime>
  <ScaleCrop>false</ScaleCrop>
  <LinksUpToDate>false</LinksUpToDate>
  <CharactersWithSpaces>2863</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2021-09-15T19:36:00Z</dcterms:created>
  <dc:creator>袁静</dc:creator>
  <cp:lastModifiedBy>Pluto</cp:lastModifiedBy>
  <cp:lastPrinted>2022-07-27T17:49:00Z</cp:lastPrinted>
  <dcterms:modified xsi:type="dcterms:W3CDTF">2025-09-02T07:58:45Z</dcterms:modified>
  <dc:title>中华人民共和国</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2017-09-05T16:00:00Z</vt:filetime>
  </property>
  <property fmtid="{D5CDD505-2E9C-101B-9397-08002B2CF9AE}" pid="3" name="Creator">
    <vt:lpwstr>Microsoft® Word 2013</vt:lpwstr>
  </property>
  <property fmtid="{D5CDD505-2E9C-101B-9397-08002B2CF9AE}" pid="4" name="LastSaved">
    <vt:filetime>2017-09-13T16:00:00Z</vt:filetime>
  </property>
  <property fmtid="{D5CDD505-2E9C-101B-9397-08002B2CF9AE}" pid="5" name="KSOProductBuildVer">
    <vt:lpwstr>2052-10.8.2.6543</vt:lpwstr>
  </property>
  <property fmtid="{D5CDD505-2E9C-101B-9397-08002B2CF9AE}" pid="6" name="ICV">
    <vt:lpwstr>6D89A707E0B542FFA3AF45AC102AAD4D_13</vt:lpwstr>
  </property>
  <property fmtid="{D5CDD505-2E9C-101B-9397-08002B2CF9AE}" pid="7" name="KSOTemplateDocerSaveRecord">
    <vt:lpwstr>eyJoZGlkIjoiMTU1NzEzOTc0M2YxYTIzMmRkNmY2YjM4ZTQwMzYyZWUiLCJ1c2VySWQiOiIxMTY3NzQ3MTkzIn0=</vt:lpwstr>
  </property>
</Properties>
</file>