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default" w:ascii="仿宋_GB2312" w:hAnsi="仿宋_GB2312" w:eastAsia="仿宋_GB2312" w:cs="仿宋_GB2312"/>
          <w:b/>
          <w:bCs/>
          <w:sz w:val="32"/>
          <w:szCs w:val="32"/>
          <w:lang w:val="en-US" w:eastAsia="zh-CN"/>
        </w:rPr>
      </w:pPr>
      <w:bookmarkStart w:id="0" w:name="_GoBack"/>
      <w:r>
        <w:rPr>
          <w:rFonts w:hint="eastAsia" w:ascii="仿宋_GB2312" w:hAnsi="仿宋_GB2312" w:eastAsia="仿宋_GB2312" w:cs="仿宋_GB2312"/>
          <w:b/>
          <w:bCs/>
          <w:sz w:val="32"/>
          <w:szCs w:val="32"/>
          <w:lang w:val="en-US" w:eastAsia="zh-CN"/>
        </w:rPr>
        <w:t>附件3</w:t>
      </w:r>
    </w:p>
    <w:bookmarkEnd w:id="0"/>
    <w:p>
      <w:pPr>
        <w:pStyle w:val="2"/>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电子保函服务开放合作标准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为贯彻落实国家实体经济减负、优化营商环境等有关政策，降低供应商融资成本，切实做好“六稳”工作、落实“六保”任务。</w:t>
      </w:r>
      <w:r>
        <w:rPr>
          <w:rFonts w:hint="eastAsia" w:ascii="仿宋_GB2312" w:hAnsi="仿宋_GB2312" w:eastAsia="仿宋_GB2312" w:cs="仿宋_GB2312"/>
          <w:kern w:val="2"/>
          <w:sz w:val="32"/>
          <w:szCs w:val="32"/>
          <w:lang w:val="en-US" w:eastAsia="zh-CN" w:bidi="ar-SA"/>
        </w:rPr>
        <w:t>南方电网公司</w:t>
      </w:r>
      <w:r>
        <w:rPr>
          <w:rFonts w:hint="eastAsia" w:ascii="仿宋_GB2312" w:hAnsi="仿宋_GB2312" w:eastAsia="仿宋_GB2312" w:cs="仿宋_GB2312"/>
          <w:sz w:val="32"/>
          <w:szCs w:val="32"/>
          <w:lang w:val="en-US" w:eastAsia="zh-CN"/>
        </w:rPr>
        <w:t>接受金融机构为供应商提供的电子保函，作为供应商缴纳履约保证金方式之一，减轻实体经济特别是中小企业资金压力。</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公司坚持公开、公平、公正原则，欢迎有意愿的金融机构提供电子保函服务，共同构建健康绿色的供应链生态圈。现将</w:t>
      </w:r>
      <w:r>
        <w:rPr>
          <w:rFonts w:hint="eastAsia" w:ascii="仿宋_GB2312" w:hAnsi="仿宋_GB2312" w:eastAsia="仿宋_GB2312" w:cs="仿宋_GB2312"/>
          <w:color w:val="auto"/>
          <w:kern w:val="2"/>
          <w:sz w:val="32"/>
          <w:szCs w:val="32"/>
          <w:highlight w:val="none"/>
          <w:lang w:val="en-US" w:eastAsia="zh-CN" w:bidi="ar-SA"/>
        </w:rPr>
        <w:t>履约保证金电子保函服务开放合作标准</w:t>
      </w:r>
      <w:r>
        <w:rPr>
          <w:rFonts w:hint="eastAsia" w:ascii="仿宋_GB2312" w:hAnsi="仿宋_GB2312" w:eastAsia="仿宋_GB2312" w:cs="仿宋_GB2312"/>
          <w:sz w:val="32"/>
          <w:szCs w:val="32"/>
          <w:highlight w:val="none"/>
          <w:lang w:val="en-US" w:eastAsia="zh-CN"/>
        </w:rPr>
        <w:t>公告如下：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履约保证金电子保函手续费费率由合作银行根据供应商资质情况等综合确定，原则上应低于市场同期同类产品费率，手续费费率最高不得超过保函金额的4‰/季度。（手续费限价依据《中华人民共和国价格法》《商业银行服务价格管理办法》及银行报价综合估算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二、合作银行应加强风险管控，对采用履约保证金电子保函服务的合同卖方，如合同履约过程中未按照买卖合同的相关约定履行相关义务导致保证金罚没的，由合作银行按照电子保函</w:t>
      </w:r>
      <w:r>
        <w:rPr>
          <w:rFonts w:hint="eastAsia" w:ascii="仿宋_GB2312" w:hAnsi="仿宋_GB2312" w:eastAsia="仿宋_GB2312" w:cs="仿宋_GB2312"/>
          <w:sz w:val="32"/>
          <w:szCs w:val="32"/>
          <w:lang w:val="en-US" w:eastAsia="zh-Hans"/>
        </w:rPr>
        <w:t>的</w:t>
      </w:r>
      <w:r>
        <w:rPr>
          <w:rFonts w:hint="eastAsia" w:ascii="仿宋_GB2312" w:hAnsi="仿宋_GB2312" w:eastAsia="仿宋_GB2312" w:cs="仿宋_GB2312"/>
          <w:sz w:val="32"/>
          <w:szCs w:val="32"/>
          <w:lang w:val="en-US" w:eastAsia="zh-CN"/>
        </w:rPr>
        <w:t>有关条款承担责任，保函受益人不承担相关责任。</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三、合作银行应按照南方电网公司统一格式开立保函，并协调全国各分支机构（不含港、澳、台地区）提供高效快捷服务，授信批准并提交完整材料后三个工作日内开出履约保证金电子保函。</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default" w:ascii="仿宋_GB2312" w:hAnsi="仿宋_GB2312" w:eastAsia="仿宋_GB2312" w:cs="仿宋_GB2312"/>
          <w:color w:val="70AD47" w:themeColor="accent6"/>
          <w:sz w:val="32"/>
          <w:szCs w:val="32"/>
          <w:lang w:val="en-US" w:eastAsia="zh-CN"/>
          <w14:textFill>
            <w14:solidFill>
              <w14:schemeClr w14:val="accent6"/>
            </w14:solidFill>
          </w14:textFill>
        </w:rPr>
      </w:pPr>
      <w:r>
        <w:rPr>
          <w:rFonts w:hint="eastAsia" w:ascii="仿宋_GB2312" w:hAnsi="仿宋_GB2312" w:eastAsia="仿宋_GB2312" w:cs="仿宋_GB2312"/>
          <w:sz w:val="32"/>
          <w:szCs w:val="32"/>
          <w:lang w:val="en-US" w:eastAsia="zh-CN"/>
        </w:rPr>
        <w:t>四、合作银行应按照系统接口规范</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sz w:val="32"/>
          <w:szCs w:val="32"/>
          <w:lang w:val="en-US" w:eastAsia="zh-CN"/>
        </w:rPr>
        <w:t>做好保函系统的开发、对接和调试，支持保函验真功能。</w:t>
      </w:r>
    </w:p>
    <w:p>
      <w:pPr>
        <w:keepNext w:val="0"/>
        <w:keepLines w:val="0"/>
        <w:pageBreakBefore w:val="0"/>
        <w:widowControl w:val="0"/>
        <w:kinsoku/>
        <w:wordWrap/>
        <w:overflowPunct/>
        <w:topLinePunct w:val="0"/>
        <w:autoSpaceDE/>
        <w:autoSpaceDN/>
        <w:bidi w:val="0"/>
        <w:adjustRightInd/>
        <w:snapToGrid w:val="0"/>
        <w:spacing w:before="156" w:after="156" w:line="56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val="en-US" w:eastAsia="zh-CN"/>
        </w:rPr>
        <w:t>五、合作银行应开放电子保函的查询权限，支持保函受益人、南网供应链集团等相关单位查询和统计电子保函的服务数据信息。</w:t>
      </w:r>
    </w:p>
    <w:p>
      <w:pPr>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88E4D6"/>
    <w:multiLevelType w:val="singleLevel"/>
    <w:tmpl w:val="A288E4D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41439"/>
    <w:rsid w:val="00033F28"/>
    <w:rsid w:val="002412F9"/>
    <w:rsid w:val="01883EAB"/>
    <w:rsid w:val="02153F6A"/>
    <w:rsid w:val="02354841"/>
    <w:rsid w:val="048D4D5B"/>
    <w:rsid w:val="06000A69"/>
    <w:rsid w:val="07997BCC"/>
    <w:rsid w:val="07BA0815"/>
    <w:rsid w:val="0A6263B9"/>
    <w:rsid w:val="0AC149B9"/>
    <w:rsid w:val="0B4D5F5C"/>
    <w:rsid w:val="0B943E7D"/>
    <w:rsid w:val="0BDF3A5F"/>
    <w:rsid w:val="0BF41627"/>
    <w:rsid w:val="0DF21834"/>
    <w:rsid w:val="14435070"/>
    <w:rsid w:val="14E4177C"/>
    <w:rsid w:val="16252D5E"/>
    <w:rsid w:val="18394FB2"/>
    <w:rsid w:val="18D602F0"/>
    <w:rsid w:val="1A8C1D23"/>
    <w:rsid w:val="1C904913"/>
    <w:rsid w:val="1D204C47"/>
    <w:rsid w:val="1E2C6E75"/>
    <w:rsid w:val="1F335640"/>
    <w:rsid w:val="1F4616E4"/>
    <w:rsid w:val="20087F91"/>
    <w:rsid w:val="20BB6DE4"/>
    <w:rsid w:val="23457E02"/>
    <w:rsid w:val="23486217"/>
    <w:rsid w:val="23E94D8D"/>
    <w:rsid w:val="25203BAA"/>
    <w:rsid w:val="26363166"/>
    <w:rsid w:val="27654717"/>
    <w:rsid w:val="27AD7DAD"/>
    <w:rsid w:val="27FF2960"/>
    <w:rsid w:val="29180697"/>
    <w:rsid w:val="2B7F20F9"/>
    <w:rsid w:val="2C2118BB"/>
    <w:rsid w:val="2DB4677F"/>
    <w:rsid w:val="2DF67B6D"/>
    <w:rsid w:val="315868E5"/>
    <w:rsid w:val="31A37492"/>
    <w:rsid w:val="31BA2083"/>
    <w:rsid w:val="31F31155"/>
    <w:rsid w:val="344203EA"/>
    <w:rsid w:val="35BE74D0"/>
    <w:rsid w:val="37763496"/>
    <w:rsid w:val="38535C1B"/>
    <w:rsid w:val="38D9324A"/>
    <w:rsid w:val="39A85F23"/>
    <w:rsid w:val="3A01639F"/>
    <w:rsid w:val="3D1801A3"/>
    <w:rsid w:val="3DFC009A"/>
    <w:rsid w:val="42D8533B"/>
    <w:rsid w:val="457C282C"/>
    <w:rsid w:val="46DB56E9"/>
    <w:rsid w:val="47281840"/>
    <w:rsid w:val="4D95267F"/>
    <w:rsid w:val="4EDF4390"/>
    <w:rsid w:val="4F1E214C"/>
    <w:rsid w:val="54A572E4"/>
    <w:rsid w:val="55710156"/>
    <w:rsid w:val="55D81289"/>
    <w:rsid w:val="55F256D4"/>
    <w:rsid w:val="5686714F"/>
    <w:rsid w:val="59E03DBA"/>
    <w:rsid w:val="5AA11593"/>
    <w:rsid w:val="5E5743D0"/>
    <w:rsid w:val="60E61CFA"/>
    <w:rsid w:val="61BC3D3F"/>
    <w:rsid w:val="620D7BEE"/>
    <w:rsid w:val="6281399E"/>
    <w:rsid w:val="63F45995"/>
    <w:rsid w:val="689D382E"/>
    <w:rsid w:val="68C00E3E"/>
    <w:rsid w:val="6AC269C7"/>
    <w:rsid w:val="6E8A300D"/>
    <w:rsid w:val="6F1F2052"/>
    <w:rsid w:val="71691302"/>
    <w:rsid w:val="71DD78DF"/>
    <w:rsid w:val="74660FB5"/>
    <w:rsid w:val="7480621D"/>
    <w:rsid w:val="7537329E"/>
    <w:rsid w:val="765569DA"/>
    <w:rsid w:val="76D97F27"/>
    <w:rsid w:val="78541439"/>
    <w:rsid w:val="7A0506D6"/>
    <w:rsid w:val="7BF0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Ascii" w:hAnsiTheme="minorAscii" w:cstheme="minorBidi"/>
      <w:kern w:val="2"/>
      <w:sz w:val="32"/>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3"/>
    <w:next w:val="3"/>
    <w:qFormat/>
    <w:uiPriority w:val="0"/>
    <w:pPr>
      <w:spacing w:after="120" w:afterLines="0" w:afterAutospacing="0"/>
    </w:pPr>
  </w:style>
  <w:style w:type="paragraph" w:styleId="3">
    <w:name w:val="Title"/>
    <w:basedOn w:val="1"/>
    <w:next w:val="1"/>
    <w:qFormat/>
    <w:uiPriority w:val="0"/>
    <w:pPr>
      <w:widowControl/>
      <w:spacing w:before="240" w:after="60" w:line="560" w:lineRule="exact"/>
      <w:jc w:val="center"/>
      <w:outlineLvl w:val="0"/>
    </w:pPr>
    <w:rPr>
      <w:rFonts w:ascii="Arial" w:hAnsi="Arial" w:eastAsia="华文中宋" w:cs="Arial"/>
      <w:b/>
      <w:bCs/>
      <w:color w:val="FF0000"/>
      <w:kern w:val="0"/>
      <w:sz w:val="84"/>
      <w:szCs w:val="32"/>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csg</Company>
  <Pages>2</Pages>
  <Words>710</Words>
  <Characters>719</Characters>
  <Lines>0</Lines>
  <Paragraphs>0</Paragraphs>
  <TotalTime>21</TotalTime>
  <ScaleCrop>false</ScaleCrop>
  <LinksUpToDate>false</LinksUpToDate>
  <CharactersWithSpaces>756</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2021-11-04T08:32:00Z</dcterms:created>
  <dc:creator>樊莉</dc:creator>
  <cp:lastModifiedBy>鲁毅</cp:lastModifiedBy>
  <cp:lastPrinted>2022-12-08T05:33:00Z</cp:lastPrinted>
  <dcterms:modified xsi:type="dcterms:W3CDTF">2022-12-12T03:36:58Z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